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7BFB0A" w14:textId="292E0FC1" w:rsidR="000531C7" w:rsidRPr="002B72D6" w:rsidRDefault="006A31B9" w:rsidP="00EA24BE">
      <w:pPr>
        <w:jc w:val="center"/>
        <w:rPr>
          <w:rFonts w:ascii="Calibri Light" w:hAnsi="Calibri Light" w:cs="Calibri Light"/>
          <w:sz w:val="24"/>
          <w:szCs w:val="24"/>
          <w14:props3d w14:extrusionH="0" w14:contourW="12700" w14:prstMaterial="none">
            <w14:contourClr>
              <w14:schemeClr w14:val="tx1"/>
            </w14:contourClr>
          </w14:props3d>
        </w:rPr>
      </w:pPr>
      <w:bookmarkStart w:id="0" w:name="_Hlk1035909"/>
      <w:r w:rsidRPr="002B72D6">
        <w:rPr>
          <w:rFonts w:ascii="Calibri Light" w:hAnsi="Calibri Light" w:cs="Calibri Light"/>
          <w:sz w:val="24"/>
          <w:szCs w:val="24"/>
        </w:rPr>
        <w:t xml:space="preserve">FURTHER </w:t>
      </w:r>
      <w:r w:rsidR="00F044A6" w:rsidRPr="002B72D6">
        <w:rPr>
          <w:rFonts w:ascii="Calibri Light" w:hAnsi="Calibri Light" w:cs="Calibri Light"/>
          <w:sz w:val="24"/>
          <w:szCs w:val="24"/>
        </w:rPr>
        <w:t xml:space="preserve">BACKGROUND </w:t>
      </w:r>
      <w:r w:rsidRPr="002B72D6">
        <w:rPr>
          <w:rFonts w:ascii="Calibri Light" w:hAnsi="Calibri Light" w:cs="Calibri Light"/>
          <w:sz w:val="24"/>
          <w:szCs w:val="24"/>
        </w:rPr>
        <w:t>READING</w:t>
      </w:r>
    </w:p>
    <w:bookmarkEnd w:id="0"/>
    <w:p w14:paraId="594F5BDD" w14:textId="77777777" w:rsidR="004F5055" w:rsidRPr="002B72D6" w:rsidRDefault="004F5055">
      <w:pPr>
        <w:spacing w:line="240" w:lineRule="auto"/>
        <w:rPr>
          <w:rFonts w:ascii="Calibri Light" w:hAnsi="Calibri Light" w:cs="Calibri Light"/>
          <w:sz w:val="24"/>
          <w:szCs w:val="24"/>
          <w:highlight w:val="yellow"/>
        </w:rPr>
      </w:pPr>
    </w:p>
    <w:p w14:paraId="1439707E" w14:textId="1B3069D1" w:rsidR="00FC3C4A" w:rsidRPr="002B72D6" w:rsidRDefault="00ED6D5D" w:rsidP="00ED6D5D">
      <w:pPr>
        <w:spacing w:line="240" w:lineRule="auto"/>
        <w:rPr>
          <w:rFonts w:ascii="Calibri Light" w:hAnsi="Calibri Light" w:cs="Calibri Light"/>
          <w:iCs/>
          <w:sz w:val="24"/>
          <w:szCs w:val="24"/>
        </w:rPr>
      </w:pPr>
      <w:r w:rsidRPr="002B72D6">
        <w:rPr>
          <w:rFonts w:ascii="Calibri Light" w:hAnsi="Calibri Light" w:cs="Calibri Light"/>
          <w:iCs/>
          <w:sz w:val="24"/>
          <w:szCs w:val="24"/>
        </w:rPr>
        <w:t>Some interesting reading materials could be found through the following links:</w:t>
      </w:r>
      <w:r w:rsidR="00FC3C4A" w:rsidRPr="002B72D6">
        <w:rPr>
          <w:rFonts w:ascii="Calibri Light" w:hAnsi="Calibri Light" w:cs="Calibri Light"/>
          <w:iCs/>
          <w:sz w:val="24"/>
          <w:szCs w:val="24"/>
        </w:rPr>
        <w:t xml:space="preserve"> </w:t>
      </w:r>
    </w:p>
    <w:p w14:paraId="7D527CBC" w14:textId="77777777" w:rsidR="000531C7" w:rsidRPr="002B72D6" w:rsidRDefault="000531C7">
      <w:pPr>
        <w:spacing w:line="240" w:lineRule="auto"/>
        <w:rPr>
          <w:rFonts w:ascii="Calibri Light" w:hAnsi="Calibri Light" w:cs="Calibri Light"/>
          <w:sz w:val="24"/>
          <w:szCs w:val="24"/>
        </w:rPr>
      </w:pPr>
    </w:p>
    <w:p w14:paraId="5740626C" w14:textId="66CD7770" w:rsidR="0058322A" w:rsidRPr="002B72D6" w:rsidRDefault="00ED5D37" w:rsidP="0058322A">
      <w:pPr>
        <w:pStyle w:val="ListParagraph"/>
        <w:numPr>
          <w:ilvl w:val="0"/>
          <w:numId w:val="12"/>
        </w:numPr>
        <w:spacing w:line="240" w:lineRule="auto"/>
        <w:rPr>
          <w:rFonts w:ascii="Calibri Light" w:hAnsi="Calibri Light" w:cs="Calibri Light"/>
          <w:sz w:val="24"/>
          <w:szCs w:val="24"/>
        </w:rPr>
      </w:pPr>
      <w:hyperlink r:id="rId9" w:history="1">
        <w:r w:rsidR="0058322A" w:rsidRPr="002B72D6">
          <w:rPr>
            <w:rStyle w:val="Hyperlink"/>
            <w:rFonts w:ascii="Calibri Light" w:hAnsi="Calibri Light" w:cs="Calibri Light"/>
            <w:sz w:val="24"/>
            <w:szCs w:val="24"/>
          </w:rPr>
          <w:t>https://www.iea.org/oil2019/</w:t>
        </w:r>
      </w:hyperlink>
    </w:p>
    <w:p w14:paraId="4111BE40" w14:textId="77777777" w:rsidR="00DB6B86" w:rsidRPr="002B72D6" w:rsidRDefault="00DB6B86" w:rsidP="0058322A">
      <w:pPr>
        <w:spacing w:line="240" w:lineRule="auto"/>
        <w:rPr>
          <w:rFonts w:ascii="Calibri Light" w:hAnsi="Calibri Light" w:cs="Calibri Light"/>
          <w:sz w:val="24"/>
          <w:szCs w:val="24"/>
        </w:rPr>
      </w:pPr>
    </w:p>
    <w:p w14:paraId="194C6F74" w14:textId="0BAB2E09" w:rsidR="0058322A" w:rsidRPr="002B72D6" w:rsidRDefault="0058322A" w:rsidP="002C4EDC">
      <w:pPr>
        <w:spacing w:line="240" w:lineRule="auto"/>
        <w:jc w:val="both"/>
        <w:rPr>
          <w:rFonts w:ascii="Calibri Light" w:hAnsi="Calibri Light" w:cs="Calibri Light"/>
          <w:sz w:val="24"/>
          <w:szCs w:val="24"/>
        </w:rPr>
      </w:pPr>
      <w:r w:rsidRPr="002B72D6">
        <w:rPr>
          <w:rFonts w:ascii="Calibri Light" w:hAnsi="Calibri Light" w:cs="Calibri Light"/>
          <w:sz w:val="24"/>
          <w:szCs w:val="24"/>
        </w:rPr>
        <w:t xml:space="preserve">These are times of extraordinary change for the oil industry. Everywhere we look, new actors are emerging and certainties of past years are fading." </w:t>
      </w:r>
    </w:p>
    <w:p w14:paraId="245C767B" w14:textId="77777777" w:rsidR="0058322A" w:rsidRPr="002B72D6" w:rsidRDefault="0058322A" w:rsidP="002C4EDC">
      <w:pPr>
        <w:spacing w:line="240" w:lineRule="auto"/>
        <w:jc w:val="both"/>
        <w:rPr>
          <w:rFonts w:ascii="Calibri Light" w:hAnsi="Calibri Light" w:cs="Calibri Light"/>
          <w:sz w:val="24"/>
          <w:szCs w:val="24"/>
        </w:rPr>
      </w:pPr>
      <w:r w:rsidRPr="002B72D6">
        <w:rPr>
          <w:rFonts w:ascii="Calibri Light" w:hAnsi="Calibri Light" w:cs="Calibri Light"/>
          <w:sz w:val="24"/>
          <w:szCs w:val="24"/>
        </w:rPr>
        <w:t xml:space="preserve">Fatih Birol, Executive Director, IEA </w:t>
      </w:r>
    </w:p>
    <w:p w14:paraId="0A3A0F26" w14:textId="77777777" w:rsidR="0058322A" w:rsidRPr="002B72D6" w:rsidRDefault="0058322A" w:rsidP="002C4EDC">
      <w:pPr>
        <w:spacing w:line="240" w:lineRule="auto"/>
        <w:jc w:val="both"/>
        <w:rPr>
          <w:rFonts w:ascii="Calibri Light" w:hAnsi="Calibri Light" w:cs="Calibri Light"/>
          <w:sz w:val="24"/>
          <w:szCs w:val="24"/>
        </w:rPr>
      </w:pPr>
      <w:r w:rsidRPr="002B72D6">
        <w:rPr>
          <w:rFonts w:ascii="Calibri Light" w:hAnsi="Calibri Light" w:cs="Calibri Light"/>
          <w:sz w:val="24"/>
          <w:szCs w:val="24"/>
        </w:rPr>
        <w:t xml:space="preserve">     </w:t>
      </w:r>
    </w:p>
    <w:p w14:paraId="7AD8ED07" w14:textId="39A0FD52" w:rsidR="0058322A" w:rsidRPr="002B72D6" w:rsidRDefault="0058322A" w:rsidP="002C4EDC">
      <w:pPr>
        <w:spacing w:line="240" w:lineRule="auto"/>
        <w:jc w:val="both"/>
        <w:rPr>
          <w:rFonts w:ascii="Calibri Light" w:hAnsi="Calibri Light" w:cs="Calibri Light"/>
          <w:sz w:val="24"/>
          <w:szCs w:val="24"/>
        </w:rPr>
      </w:pPr>
      <w:r w:rsidRPr="002B72D6">
        <w:rPr>
          <w:rFonts w:ascii="Calibri Light" w:hAnsi="Calibri Light" w:cs="Calibri Light"/>
          <w:sz w:val="24"/>
          <w:szCs w:val="24"/>
        </w:rPr>
        <w:t>The United States will lead oil-supply growth over the next six years, thanks to the incredible strength of its shale industry, triggering a rapid transformation of global oil markets. By 2024, the United States will export more oil than Russia and will close in on Saudi Arabia – a pivotal milestone that will bring greater diversity of supply in markets.</w:t>
      </w:r>
    </w:p>
    <w:p w14:paraId="70230CB3" w14:textId="77777777" w:rsidR="00DB6B86" w:rsidRPr="002B72D6" w:rsidRDefault="00DB6B86" w:rsidP="002C4EDC">
      <w:pPr>
        <w:spacing w:line="240" w:lineRule="auto"/>
        <w:jc w:val="both"/>
        <w:rPr>
          <w:rFonts w:ascii="Calibri Light" w:hAnsi="Calibri Light" w:cs="Calibri Light"/>
          <w:sz w:val="24"/>
          <w:szCs w:val="24"/>
        </w:rPr>
      </w:pPr>
    </w:p>
    <w:p w14:paraId="10A4C19A" w14:textId="5287AA66" w:rsidR="0058322A" w:rsidRPr="002B72D6" w:rsidRDefault="0058322A" w:rsidP="002C4EDC">
      <w:pPr>
        <w:spacing w:line="240" w:lineRule="auto"/>
        <w:jc w:val="both"/>
        <w:rPr>
          <w:rFonts w:ascii="Calibri Light" w:hAnsi="Calibri Light" w:cs="Calibri Light"/>
          <w:sz w:val="24"/>
          <w:szCs w:val="24"/>
        </w:rPr>
      </w:pPr>
      <w:r w:rsidRPr="002B72D6">
        <w:rPr>
          <w:rFonts w:ascii="Calibri Light" w:hAnsi="Calibri Light" w:cs="Calibri Light"/>
          <w:sz w:val="24"/>
          <w:szCs w:val="24"/>
        </w:rPr>
        <w:t>Meanwhile</w:t>
      </w:r>
      <w:r w:rsidR="00DB6B86" w:rsidRPr="002B72D6">
        <w:rPr>
          <w:rFonts w:ascii="Calibri Light" w:hAnsi="Calibri Light" w:cs="Calibri Light"/>
          <w:sz w:val="24"/>
          <w:szCs w:val="24"/>
        </w:rPr>
        <w:t>,</w:t>
      </w:r>
      <w:r w:rsidRPr="002B72D6">
        <w:rPr>
          <w:rFonts w:ascii="Calibri Light" w:hAnsi="Calibri Light" w:cs="Calibri Light"/>
          <w:sz w:val="24"/>
          <w:szCs w:val="24"/>
        </w:rPr>
        <w:t xml:space="preserve"> product markets are on the eve of one of the biggest shakeups ever seen, with the implementation of the International Maritime </w:t>
      </w:r>
      <w:proofErr w:type="spellStart"/>
      <w:r w:rsidRPr="002B72D6">
        <w:rPr>
          <w:rFonts w:ascii="Calibri Light" w:hAnsi="Calibri Light" w:cs="Calibri Light"/>
          <w:sz w:val="24"/>
          <w:szCs w:val="24"/>
        </w:rPr>
        <w:t>Organisation’s</w:t>
      </w:r>
      <w:proofErr w:type="spellEnd"/>
      <w:r w:rsidRPr="002B72D6">
        <w:rPr>
          <w:rFonts w:ascii="Calibri Light" w:hAnsi="Calibri Light" w:cs="Calibri Light"/>
          <w:sz w:val="24"/>
          <w:szCs w:val="24"/>
        </w:rPr>
        <w:t xml:space="preserve"> new rules governing bunker fuel quality in 2020. Although the shipping and refining industries have had several years notice, there have been fears of shortfalls when the rules come into effect.</w:t>
      </w:r>
    </w:p>
    <w:p w14:paraId="77C428D2" w14:textId="77777777" w:rsidR="0058322A" w:rsidRPr="002B72D6" w:rsidRDefault="0058322A" w:rsidP="002C4EDC">
      <w:pPr>
        <w:spacing w:line="240" w:lineRule="auto"/>
        <w:jc w:val="both"/>
        <w:rPr>
          <w:rFonts w:ascii="Calibri Light" w:hAnsi="Calibri Light" w:cs="Calibri Light"/>
          <w:sz w:val="24"/>
          <w:szCs w:val="24"/>
        </w:rPr>
      </w:pPr>
    </w:p>
    <w:p w14:paraId="2A73C0FF" w14:textId="0718DC8B" w:rsidR="009A544D" w:rsidRPr="002C4EDC" w:rsidRDefault="00ED5D37" w:rsidP="002C4EDC">
      <w:pPr>
        <w:pStyle w:val="ListParagraph"/>
        <w:numPr>
          <w:ilvl w:val="0"/>
          <w:numId w:val="12"/>
        </w:numPr>
        <w:spacing w:line="240" w:lineRule="auto"/>
        <w:jc w:val="both"/>
        <w:rPr>
          <w:rStyle w:val="Hyperlink"/>
          <w:rFonts w:ascii="Calibri Light" w:hAnsi="Calibri Light" w:cs="Calibri Light"/>
          <w:color w:val="17365D" w:themeColor="text2" w:themeShade="BF"/>
          <w:sz w:val="24"/>
          <w:szCs w:val="24"/>
          <w:u w:val="none"/>
        </w:rPr>
      </w:pPr>
      <w:hyperlink r:id="rId10" w:history="1">
        <w:r w:rsidR="009A544D" w:rsidRPr="002B72D6">
          <w:rPr>
            <w:rStyle w:val="Hyperlink"/>
            <w:rFonts w:ascii="Calibri Light" w:hAnsi="Calibri Light" w:cs="Calibri Light"/>
            <w:sz w:val="24"/>
            <w:szCs w:val="24"/>
          </w:rPr>
          <w:t>https://www.eia.gov/outlooks/aeo</w:t>
        </w:r>
      </w:hyperlink>
    </w:p>
    <w:p w14:paraId="5FD18398" w14:textId="77777777" w:rsidR="002C4EDC" w:rsidRPr="002B72D6" w:rsidRDefault="002C4EDC" w:rsidP="002C4EDC">
      <w:pPr>
        <w:pStyle w:val="ListParagraph"/>
        <w:spacing w:line="240" w:lineRule="auto"/>
        <w:jc w:val="both"/>
        <w:rPr>
          <w:rFonts w:ascii="Calibri Light" w:hAnsi="Calibri Light" w:cs="Calibri Light"/>
          <w:sz w:val="24"/>
          <w:szCs w:val="24"/>
        </w:rPr>
      </w:pPr>
    </w:p>
    <w:p w14:paraId="0E54FC2A" w14:textId="77777777" w:rsidR="009A544D" w:rsidRPr="002B72D6" w:rsidRDefault="009A544D" w:rsidP="002C4EDC">
      <w:pPr>
        <w:spacing w:line="240" w:lineRule="auto"/>
        <w:jc w:val="both"/>
        <w:rPr>
          <w:rFonts w:ascii="Calibri Light" w:hAnsi="Calibri Light" w:cs="Calibri Light"/>
          <w:sz w:val="24"/>
          <w:szCs w:val="24"/>
        </w:rPr>
      </w:pPr>
      <w:r w:rsidRPr="002B72D6">
        <w:rPr>
          <w:rFonts w:ascii="Calibri Light" w:hAnsi="Calibri Light" w:cs="Calibri Light"/>
          <w:sz w:val="24"/>
          <w:szCs w:val="24"/>
        </w:rPr>
        <w:t>EIA's Annual Energy Outlook 2019 provides modeled projections of domestic energy markets through 2050, and it includes cases with different assumptions about macroeconomic growth, world oil prices, and technological progress.</w:t>
      </w:r>
    </w:p>
    <w:p w14:paraId="6D5A997E" w14:textId="77777777" w:rsidR="009A544D" w:rsidRPr="002B72D6" w:rsidRDefault="009A544D" w:rsidP="002C4EDC">
      <w:pPr>
        <w:spacing w:line="240" w:lineRule="auto"/>
        <w:jc w:val="both"/>
        <w:rPr>
          <w:rFonts w:ascii="Calibri Light" w:hAnsi="Calibri Light" w:cs="Calibri Light"/>
          <w:sz w:val="24"/>
          <w:szCs w:val="24"/>
        </w:rPr>
      </w:pPr>
    </w:p>
    <w:p w14:paraId="47BF667E" w14:textId="76F5B5B5" w:rsidR="009A544D" w:rsidRPr="002B72D6" w:rsidRDefault="009A544D" w:rsidP="002C4EDC">
      <w:pPr>
        <w:spacing w:line="240" w:lineRule="auto"/>
        <w:jc w:val="both"/>
        <w:rPr>
          <w:rFonts w:ascii="Calibri Light" w:hAnsi="Calibri Light" w:cs="Calibri Light"/>
          <w:sz w:val="24"/>
          <w:szCs w:val="24"/>
        </w:rPr>
      </w:pPr>
      <w:r w:rsidRPr="002B72D6">
        <w:rPr>
          <w:rFonts w:ascii="Calibri Light" w:hAnsi="Calibri Light" w:cs="Calibri Light"/>
          <w:sz w:val="24"/>
          <w:szCs w:val="24"/>
        </w:rPr>
        <w:t>Key takeaways from the Reference case include:</w:t>
      </w:r>
    </w:p>
    <w:p w14:paraId="4B48E633" w14:textId="77777777" w:rsidR="00297AD1" w:rsidRPr="002B72D6" w:rsidRDefault="00297AD1" w:rsidP="002C4EDC">
      <w:pPr>
        <w:spacing w:line="240" w:lineRule="auto"/>
        <w:jc w:val="both"/>
        <w:rPr>
          <w:rFonts w:ascii="Calibri Light" w:hAnsi="Calibri Light" w:cs="Calibri Light"/>
          <w:sz w:val="24"/>
          <w:szCs w:val="24"/>
        </w:rPr>
      </w:pPr>
    </w:p>
    <w:p w14:paraId="14CBC306" w14:textId="46B41FB3" w:rsidR="009A544D" w:rsidRPr="002B72D6" w:rsidRDefault="009A544D" w:rsidP="002C4EDC">
      <w:pPr>
        <w:spacing w:line="240" w:lineRule="auto"/>
        <w:jc w:val="both"/>
        <w:rPr>
          <w:rFonts w:ascii="Calibri Light" w:hAnsi="Calibri Light" w:cs="Calibri Light"/>
          <w:sz w:val="24"/>
          <w:szCs w:val="24"/>
        </w:rPr>
      </w:pPr>
      <w:r w:rsidRPr="002B72D6">
        <w:rPr>
          <w:rFonts w:ascii="Calibri Light" w:hAnsi="Calibri Light" w:cs="Calibri Light"/>
          <w:sz w:val="24"/>
          <w:szCs w:val="24"/>
        </w:rPr>
        <w:t>The United States becomes a net energy exporter in 2020 and remains so throughout the projection period as a result of large increases in crude oil, natural gas, and natural gas plant liquids (NGPL) production coupled with slow growth in U.S. energy consumption.</w:t>
      </w:r>
    </w:p>
    <w:p w14:paraId="0730E275" w14:textId="77777777" w:rsidR="00297AD1" w:rsidRPr="002B72D6" w:rsidRDefault="00297AD1" w:rsidP="002C4EDC">
      <w:pPr>
        <w:spacing w:line="240" w:lineRule="auto"/>
        <w:jc w:val="both"/>
        <w:rPr>
          <w:rFonts w:ascii="Calibri Light" w:hAnsi="Calibri Light" w:cs="Calibri Light"/>
          <w:sz w:val="24"/>
          <w:szCs w:val="24"/>
        </w:rPr>
      </w:pPr>
    </w:p>
    <w:p w14:paraId="68056916" w14:textId="796C6077" w:rsidR="009A544D" w:rsidRPr="002B72D6" w:rsidRDefault="009A544D" w:rsidP="002C4EDC">
      <w:pPr>
        <w:spacing w:line="240" w:lineRule="auto"/>
        <w:jc w:val="both"/>
        <w:rPr>
          <w:rFonts w:ascii="Calibri Light" w:hAnsi="Calibri Light" w:cs="Calibri Light"/>
          <w:sz w:val="24"/>
          <w:szCs w:val="24"/>
        </w:rPr>
      </w:pPr>
      <w:r w:rsidRPr="002B72D6">
        <w:rPr>
          <w:rFonts w:ascii="Calibri Light" w:hAnsi="Calibri Light" w:cs="Calibri Light"/>
          <w:sz w:val="24"/>
          <w:szCs w:val="24"/>
        </w:rPr>
        <w:t>Of the fossil fuels, natural gas and NGPLs have the highest production growth, and NGPLs account for almost one-third of cumulative U.S. liquids production during the projection period.</w:t>
      </w:r>
    </w:p>
    <w:p w14:paraId="4DBDBDC0" w14:textId="77777777" w:rsidR="00297AD1" w:rsidRPr="002B72D6" w:rsidRDefault="00297AD1" w:rsidP="002C4EDC">
      <w:pPr>
        <w:spacing w:line="240" w:lineRule="auto"/>
        <w:jc w:val="both"/>
        <w:rPr>
          <w:rFonts w:ascii="Calibri Light" w:hAnsi="Calibri Light" w:cs="Calibri Light"/>
          <w:sz w:val="24"/>
          <w:szCs w:val="24"/>
        </w:rPr>
      </w:pPr>
    </w:p>
    <w:p w14:paraId="329D5BC4" w14:textId="032546CB" w:rsidR="009A544D" w:rsidRPr="002B72D6" w:rsidRDefault="009A544D" w:rsidP="002C4EDC">
      <w:pPr>
        <w:spacing w:line="240" w:lineRule="auto"/>
        <w:jc w:val="both"/>
        <w:rPr>
          <w:rFonts w:ascii="Calibri Light" w:hAnsi="Calibri Light" w:cs="Calibri Light"/>
          <w:sz w:val="24"/>
          <w:szCs w:val="24"/>
        </w:rPr>
      </w:pPr>
      <w:r w:rsidRPr="002B72D6">
        <w:rPr>
          <w:rFonts w:ascii="Calibri Light" w:hAnsi="Calibri Light" w:cs="Calibri Light"/>
          <w:sz w:val="24"/>
          <w:szCs w:val="24"/>
        </w:rPr>
        <w:t>Natural gas prices remain comparatively low based on historical prices during the projection period, leading to increased use of this fuel across end-use sectors and increased liquefied natural gas exports.</w:t>
      </w:r>
    </w:p>
    <w:p w14:paraId="48199DA2" w14:textId="77777777" w:rsidR="00297AD1" w:rsidRPr="002B72D6" w:rsidRDefault="00297AD1" w:rsidP="002C4EDC">
      <w:pPr>
        <w:spacing w:line="240" w:lineRule="auto"/>
        <w:jc w:val="both"/>
        <w:rPr>
          <w:rFonts w:ascii="Calibri Light" w:hAnsi="Calibri Light" w:cs="Calibri Light"/>
          <w:sz w:val="24"/>
          <w:szCs w:val="24"/>
        </w:rPr>
      </w:pPr>
    </w:p>
    <w:p w14:paraId="59D641D2" w14:textId="77777777" w:rsidR="009A544D" w:rsidRPr="002B72D6" w:rsidRDefault="009A544D" w:rsidP="002C4EDC">
      <w:pPr>
        <w:spacing w:line="240" w:lineRule="auto"/>
        <w:jc w:val="both"/>
        <w:rPr>
          <w:rFonts w:ascii="Calibri Light" w:hAnsi="Calibri Light" w:cs="Calibri Light"/>
          <w:sz w:val="24"/>
          <w:szCs w:val="24"/>
        </w:rPr>
      </w:pPr>
      <w:r w:rsidRPr="002B72D6">
        <w:rPr>
          <w:rFonts w:ascii="Calibri Light" w:hAnsi="Calibri Light" w:cs="Calibri Light"/>
          <w:sz w:val="24"/>
          <w:szCs w:val="24"/>
        </w:rPr>
        <w:t>The power sector experiences a notable shift in fuels used to generate electricity, driven in part by historically low natural gas prices. Increased natural gas-fired electricity generation; larger shares of intermittent renewables; and additional retirements of less economic coal and nuclear plants occur during the projection period.</w:t>
      </w:r>
    </w:p>
    <w:p w14:paraId="00F2502C" w14:textId="77777777" w:rsidR="00893EC0" w:rsidRPr="002B72D6" w:rsidRDefault="009A544D" w:rsidP="009A544D">
      <w:pPr>
        <w:spacing w:line="240" w:lineRule="auto"/>
        <w:rPr>
          <w:rFonts w:ascii="Calibri Light" w:hAnsi="Calibri Light" w:cs="Calibri Light"/>
          <w:sz w:val="24"/>
          <w:szCs w:val="24"/>
        </w:rPr>
      </w:pPr>
      <w:r w:rsidRPr="002B72D6">
        <w:rPr>
          <w:rFonts w:ascii="Calibri Light" w:hAnsi="Calibri Light" w:cs="Calibri Light"/>
          <w:sz w:val="24"/>
          <w:szCs w:val="24"/>
        </w:rPr>
        <w:lastRenderedPageBreak/>
        <w:t>Increasing energy efficiency across end-use sectors keeps U.S. energy consumption relatively flat, even as the U.S. economy continues to expand</w:t>
      </w:r>
      <w:r w:rsidR="00893EC0" w:rsidRPr="002B72D6">
        <w:rPr>
          <w:rFonts w:ascii="Calibri Light" w:hAnsi="Calibri Light" w:cs="Calibri Light"/>
          <w:sz w:val="24"/>
          <w:szCs w:val="24"/>
        </w:rPr>
        <w:t>.</w:t>
      </w:r>
    </w:p>
    <w:p w14:paraId="33CE9E32" w14:textId="1897A97A" w:rsidR="002F0ECC" w:rsidRPr="002B72D6" w:rsidRDefault="002F0ECC" w:rsidP="00E51E95">
      <w:pPr>
        <w:spacing w:line="240" w:lineRule="auto"/>
        <w:rPr>
          <w:rFonts w:ascii="Calibri Light" w:hAnsi="Calibri Light" w:cs="Calibri Light"/>
          <w:sz w:val="24"/>
          <w:szCs w:val="24"/>
        </w:rPr>
      </w:pPr>
    </w:p>
    <w:p w14:paraId="0D4D6179" w14:textId="1E1BF4AF" w:rsidR="002F0ECC" w:rsidRPr="002B72D6" w:rsidRDefault="002F0ECC" w:rsidP="00E51E95">
      <w:pPr>
        <w:spacing w:line="240" w:lineRule="auto"/>
        <w:rPr>
          <w:rFonts w:ascii="Calibri Light" w:hAnsi="Calibri Light" w:cs="Calibri Light"/>
          <w:b/>
          <w:bCs/>
          <w:sz w:val="24"/>
          <w:szCs w:val="24"/>
        </w:rPr>
      </w:pPr>
      <w:r w:rsidRPr="002B72D6">
        <w:rPr>
          <w:rFonts w:ascii="Calibri Light" w:hAnsi="Calibri Light" w:cs="Calibri Light"/>
          <w:b/>
          <w:bCs/>
          <w:sz w:val="24"/>
          <w:szCs w:val="24"/>
        </w:rPr>
        <w:t>Qatar: Beyond the Blockade</w:t>
      </w:r>
    </w:p>
    <w:p w14:paraId="1D3705CC" w14:textId="703C4F56" w:rsidR="002F0ECC" w:rsidRPr="002B72D6" w:rsidRDefault="00ED5D37" w:rsidP="002C4EDC">
      <w:pPr>
        <w:spacing w:line="240" w:lineRule="auto"/>
        <w:jc w:val="both"/>
        <w:rPr>
          <w:rFonts w:ascii="Calibri Light" w:hAnsi="Calibri Light" w:cs="Calibri Light"/>
          <w:sz w:val="24"/>
          <w:szCs w:val="24"/>
        </w:rPr>
      </w:pPr>
      <w:hyperlink r:id="rId11" w:history="1">
        <w:r w:rsidR="002807A6" w:rsidRPr="002B72D6">
          <w:rPr>
            <w:rStyle w:val="Hyperlink"/>
            <w:rFonts w:ascii="Calibri Light" w:hAnsi="Calibri Light" w:cs="Calibri Light"/>
            <w:sz w:val="24"/>
            <w:szCs w:val="24"/>
          </w:rPr>
          <w:t>https://globalriskinsights.com/2018/10/qatar-beyond-blockade/</w:t>
        </w:r>
      </w:hyperlink>
    </w:p>
    <w:p w14:paraId="4C69F231" w14:textId="43D7AA16" w:rsidR="002807A6" w:rsidRPr="002B72D6" w:rsidRDefault="002807A6" w:rsidP="002C4EDC">
      <w:pPr>
        <w:spacing w:line="240" w:lineRule="auto"/>
        <w:jc w:val="both"/>
        <w:rPr>
          <w:rFonts w:ascii="Calibri Light" w:hAnsi="Calibri Light" w:cs="Calibri Light"/>
          <w:sz w:val="24"/>
          <w:szCs w:val="24"/>
        </w:rPr>
      </w:pPr>
      <w:r w:rsidRPr="002B72D6">
        <w:rPr>
          <w:rFonts w:ascii="Calibri Light" w:hAnsi="Calibri Light" w:cs="Calibri Light"/>
          <w:sz w:val="24"/>
          <w:szCs w:val="24"/>
        </w:rPr>
        <w:t xml:space="preserve">Despite the initial economic impact of the blockade, Qatar has been widely </w:t>
      </w:r>
      <w:proofErr w:type="spellStart"/>
      <w:r w:rsidR="00297AD1" w:rsidRPr="002B72D6">
        <w:rPr>
          <w:rFonts w:ascii="Calibri Light" w:hAnsi="Calibri Light" w:cs="Calibri Light"/>
          <w:sz w:val="24"/>
          <w:szCs w:val="24"/>
        </w:rPr>
        <w:t>recognised</w:t>
      </w:r>
      <w:proofErr w:type="spellEnd"/>
      <w:r w:rsidR="00297AD1" w:rsidRPr="002B72D6">
        <w:rPr>
          <w:rFonts w:ascii="Calibri Light" w:hAnsi="Calibri Light" w:cs="Calibri Light"/>
          <w:sz w:val="24"/>
          <w:szCs w:val="24"/>
        </w:rPr>
        <w:t xml:space="preserve"> </w:t>
      </w:r>
      <w:r w:rsidRPr="002B72D6">
        <w:rPr>
          <w:rFonts w:ascii="Calibri Light" w:hAnsi="Calibri Light" w:cs="Calibri Light"/>
          <w:sz w:val="24"/>
          <w:szCs w:val="24"/>
        </w:rPr>
        <w:t>as weathering the storm, and effectively coming out on top. Beyond its swift financial recovery, Doha has made a series of strategic policy moves that signals a new era of global engagement and positions the small but wealthy Gulf nation to emerge from the ordeal stronger than ever.</w:t>
      </w:r>
    </w:p>
    <w:p w14:paraId="6A39EA4D" w14:textId="07757077" w:rsidR="00E4580D" w:rsidRPr="002B72D6" w:rsidRDefault="00E4580D" w:rsidP="00E51E95">
      <w:pPr>
        <w:spacing w:line="240" w:lineRule="auto"/>
        <w:rPr>
          <w:rFonts w:ascii="Calibri Light" w:hAnsi="Calibri Light" w:cs="Calibri Light"/>
          <w:sz w:val="24"/>
          <w:szCs w:val="24"/>
        </w:rPr>
      </w:pPr>
    </w:p>
    <w:p w14:paraId="3F682FF1" w14:textId="0814CF36" w:rsidR="009B364A" w:rsidRPr="002B72D6" w:rsidRDefault="009B364A" w:rsidP="00E51E95">
      <w:pPr>
        <w:spacing w:line="240" w:lineRule="auto"/>
        <w:rPr>
          <w:rFonts w:ascii="Calibri Light" w:hAnsi="Calibri Light" w:cs="Calibri Light"/>
          <w:b/>
          <w:bCs/>
          <w:sz w:val="24"/>
          <w:szCs w:val="24"/>
        </w:rPr>
      </w:pPr>
      <w:r w:rsidRPr="002B72D6">
        <w:rPr>
          <w:rFonts w:ascii="Calibri Light" w:hAnsi="Calibri Light" w:cs="Calibri Light"/>
          <w:b/>
          <w:bCs/>
          <w:sz w:val="24"/>
          <w:szCs w:val="24"/>
        </w:rPr>
        <w:t>Geopolitical tensions will continue to escalate over the course of the next seven years.</w:t>
      </w:r>
    </w:p>
    <w:p w14:paraId="5164C931" w14:textId="68ECA89C" w:rsidR="00E4580D" w:rsidRPr="002B72D6" w:rsidRDefault="00ED5D37" w:rsidP="00E51E95">
      <w:pPr>
        <w:spacing w:line="240" w:lineRule="auto"/>
        <w:rPr>
          <w:rFonts w:ascii="Calibri Light" w:hAnsi="Calibri Light" w:cs="Calibri Light"/>
          <w:sz w:val="24"/>
          <w:szCs w:val="24"/>
        </w:rPr>
      </w:pPr>
      <w:hyperlink r:id="rId12" w:history="1">
        <w:r w:rsidR="00E4580D" w:rsidRPr="002B72D6">
          <w:rPr>
            <w:rStyle w:val="Hyperlink"/>
            <w:rFonts w:ascii="Calibri Light" w:hAnsi="Calibri Light" w:cs="Calibri Light"/>
            <w:sz w:val="24"/>
            <w:szCs w:val="24"/>
          </w:rPr>
          <w:t>https://globalsecurityreview.com/world-will-look-like-2025/</w:t>
        </w:r>
      </w:hyperlink>
    </w:p>
    <w:p w14:paraId="5A0D48BB" w14:textId="77777777" w:rsidR="009B364A" w:rsidRPr="002B72D6" w:rsidRDefault="009B364A" w:rsidP="00E51E95">
      <w:pPr>
        <w:spacing w:line="240" w:lineRule="auto"/>
        <w:rPr>
          <w:rFonts w:ascii="Calibri Light" w:hAnsi="Calibri Light" w:cs="Calibri Light"/>
          <w:sz w:val="24"/>
          <w:szCs w:val="24"/>
        </w:rPr>
      </w:pPr>
    </w:p>
    <w:p w14:paraId="3DA1B592" w14:textId="09C2C9AE" w:rsidR="0047536F" w:rsidRPr="002B72D6" w:rsidRDefault="009B364A" w:rsidP="0047536F">
      <w:pPr>
        <w:spacing w:line="240" w:lineRule="auto"/>
        <w:rPr>
          <w:rFonts w:ascii="Calibri Light" w:hAnsi="Calibri Light" w:cs="Calibri Light"/>
          <w:sz w:val="24"/>
          <w:szCs w:val="24"/>
        </w:rPr>
      </w:pPr>
      <w:r w:rsidRPr="002B72D6">
        <w:rPr>
          <w:rFonts w:ascii="Calibri Light" w:hAnsi="Calibri Light" w:cs="Calibri Light"/>
          <w:sz w:val="24"/>
          <w:szCs w:val="24"/>
        </w:rPr>
        <w:t>Governments and institutions will be tested by considerable challenges over the next decade as the international order is restructured and global trends converge.</w:t>
      </w:r>
      <w:r w:rsidR="002C4EDC">
        <w:rPr>
          <w:rFonts w:ascii="Calibri Light" w:hAnsi="Calibri Light" w:cs="Calibri Light"/>
          <w:sz w:val="24"/>
          <w:szCs w:val="24"/>
        </w:rPr>
        <w:t xml:space="preserve">  </w:t>
      </w:r>
      <w:r w:rsidR="0047536F" w:rsidRPr="002B72D6">
        <w:rPr>
          <w:rFonts w:ascii="Calibri Light" w:hAnsi="Calibri Light" w:cs="Calibri Light"/>
          <w:sz w:val="24"/>
          <w:szCs w:val="24"/>
        </w:rPr>
        <w:t>The world order is changing. The question is, how?</w:t>
      </w:r>
    </w:p>
    <w:p w14:paraId="289CD49F" w14:textId="77777777" w:rsidR="002C4EDC" w:rsidRDefault="002C4EDC" w:rsidP="0047536F">
      <w:pPr>
        <w:spacing w:line="240" w:lineRule="auto"/>
        <w:rPr>
          <w:rFonts w:ascii="Calibri Light" w:hAnsi="Calibri Light" w:cs="Calibri Light"/>
          <w:sz w:val="24"/>
          <w:szCs w:val="24"/>
        </w:rPr>
      </w:pPr>
    </w:p>
    <w:p w14:paraId="71D1E375" w14:textId="1CF3D715" w:rsidR="0047536F" w:rsidRDefault="0047536F" w:rsidP="0047536F">
      <w:pPr>
        <w:spacing w:line="240" w:lineRule="auto"/>
        <w:rPr>
          <w:rFonts w:ascii="Calibri Light" w:hAnsi="Calibri Light" w:cs="Calibri Light"/>
          <w:sz w:val="24"/>
          <w:szCs w:val="24"/>
        </w:rPr>
      </w:pPr>
      <w:r w:rsidRPr="002B72D6">
        <w:rPr>
          <w:rFonts w:ascii="Calibri Light" w:hAnsi="Calibri Light" w:cs="Calibri Light"/>
          <w:sz w:val="24"/>
          <w:szCs w:val="24"/>
        </w:rPr>
        <w:t>The post-World War II international order that enabled today’s political, economic, and security arrangements and institutions is in question. As power diffuses worldwide, seats at the table of global decision making are reshuffled.  Today, aspiring powers seek to adjust the rules of the game and</w:t>
      </w:r>
      <w:r w:rsidR="002C4EDC">
        <w:rPr>
          <w:rFonts w:ascii="Calibri Light" w:hAnsi="Calibri Light" w:cs="Calibri Light"/>
          <w:sz w:val="24"/>
          <w:szCs w:val="24"/>
        </w:rPr>
        <w:t xml:space="preserve"> the</w:t>
      </w:r>
      <w:r w:rsidRPr="002B72D6">
        <w:rPr>
          <w:rFonts w:ascii="Calibri Light" w:hAnsi="Calibri Light" w:cs="Calibri Light"/>
          <w:sz w:val="24"/>
          <w:szCs w:val="24"/>
        </w:rPr>
        <w:t xml:space="preserve"> international context in a way beneficial to their interests.</w:t>
      </w:r>
      <w:r w:rsidR="002C4EDC">
        <w:rPr>
          <w:rFonts w:ascii="Calibri Light" w:hAnsi="Calibri Light" w:cs="Calibri Light"/>
          <w:sz w:val="24"/>
          <w:szCs w:val="24"/>
        </w:rPr>
        <w:t xml:space="preserve">  </w:t>
      </w:r>
      <w:r w:rsidRPr="002B72D6">
        <w:rPr>
          <w:rFonts w:ascii="Calibri Light" w:hAnsi="Calibri Light" w:cs="Calibri Light"/>
          <w:sz w:val="24"/>
          <w:szCs w:val="24"/>
        </w:rPr>
        <w:t>This complicates reform of international institutions such as the UN Security Council or the Bretton-Woods institutions, also brings into question whether political, civil and human rights—hallmarks of liberal values and US leadership since 1945—will continue to be so.</w:t>
      </w:r>
    </w:p>
    <w:p w14:paraId="518EF634" w14:textId="77777777" w:rsidR="002C4EDC" w:rsidRPr="002B72D6" w:rsidRDefault="002C4EDC" w:rsidP="0047536F">
      <w:pPr>
        <w:spacing w:line="240" w:lineRule="auto"/>
        <w:rPr>
          <w:rFonts w:ascii="Calibri Light" w:hAnsi="Calibri Light" w:cs="Calibri Light"/>
          <w:sz w:val="24"/>
          <w:szCs w:val="24"/>
        </w:rPr>
      </w:pPr>
    </w:p>
    <w:p w14:paraId="5695FD06" w14:textId="0CBAE3F2" w:rsidR="0047536F" w:rsidRPr="002B72D6" w:rsidRDefault="0047536F" w:rsidP="0047536F">
      <w:pPr>
        <w:spacing w:line="240" w:lineRule="auto"/>
        <w:rPr>
          <w:rFonts w:ascii="Calibri Light" w:hAnsi="Calibri Light" w:cs="Calibri Light"/>
          <w:sz w:val="24"/>
          <w:szCs w:val="24"/>
        </w:rPr>
      </w:pPr>
      <w:r w:rsidRPr="002B72D6">
        <w:rPr>
          <w:rFonts w:ascii="Calibri Light" w:hAnsi="Calibri Light" w:cs="Calibri Light"/>
          <w:sz w:val="24"/>
          <w:szCs w:val="24"/>
        </w:rPr>
        <w:t>Norms that were believed to be settled will be increasingly threatened if present trends hold, and consensus to build standards can be elusive as Russia, China, along with other actors such as the Islamic State</w:t>
      </w:r>
      <w:r w:rsidR="002C4EDC">
        <w:rPr>
          <w:rFonts w:ascii="Calibri Light" w:hAnsi="Calibri Light" w:cs="Calibri Light"/>
          <w:sz w:val="24"/>
          <w:szCs w:val="24"/>
        </w:rPr>
        <w:t>,</w:t>
      </w:r>
      <w:r w:rsidRPr="002B72D6">
        <w:rPr>
          <w:rFonts w:ascii="Calibri Light" w:hAnsi="Calibri Light" w:cs="Calibri Light"/>
          <w:sz w:val="24"/>
          <w:szCs w:val="24"/>
        </w:rPr>
        <w:t xml:space="preserve"> seek to shape regions and international norms in their favo</w:t>
      </w:r>
      <w:r w:rsidR="002C4EDC">
        <w:rPr>
          <w:rFonts w:ascii="Calibri Light" w:hAnsi="Calibri Light" w:cs="Calibri Light"/>
          <w:sz w:val="24"/>
          <w:szCs w:val="24"/>
        </w:rPr>
        <w:t>u</w:t>
      </w:r>
      <w:r w:rsidRPr="002B72D6">
        <w:rPr>
          <w:rFonts w:ascii="Calibri Light" w:hAnsi="Calibri Light" w:cs="Calibri Light"/>
          <w:sz w:val="24"/>
          <w:szCs w:val="24"/>
        </w:rPr>
        <w:t>r</w:t>
      </w:r>
      <w:r w:rsidR="002C4EDC">
        <w:rPr>
          <w:rFonts w:ascii="Calibri Light" w:hAnsi="Calibri Light" w:cs="Calibri Light"/>
          <w:sz w:val="24"/>
          <w:szCs w:val="24"/>
        </w:rPr>
        <w:t xml:space="preserve">. </w:t>
      </w:r>
    </w:p>
    <w:p w14:paraId="2CEB220A" w14:textId="77777777" w:rsidR="0047536F" w:rsidRPr="002B72D6" w:rsidRDefault="0047536F" w:rsidP="0047536F">
      <w:pPr>
        <w:spacing w:line="240" w:lineRule="auto"/>
        <w:rPr>
          <w:rFonts w:ascii="Calibri Light" w:hAnsi="Calibri Light" w:cs="Calibri Light"/>
          <w:sz w:val="24"/>
          <w:szCs w:val="24"/>
        </w:rPr>
      </w:pPr>
    </w:p>
    <w:p w14:paraId="50983CC8" w14:textId="43A4EFD9" w:rsidR="009B364A" w:rsidRPr="002B72D6" w:rsidRDefault="009B364A" w:rsidP="00107D23">
      <w:pPr>
        <w:pStyle w:val="ListParagraph"/>
        <w:numPr>
          <w:ilvl w:val="0"/>
          <w:numId w:val="15"/>
        </w:numPr>
        <w:spacing w:line="240" w:lineRule="auto"/>
        <w:jc w:val="both"/>
        <w:rPr>
          <w:rFonts w:ascii="Calibri Light" w:hAnsi="Calibri Light" w:cs="Calibri Light"/>
          <w:sz w:val="24"/>
          <w:szCs w:val="24"/>
        </w:rPr>
      </w:pPr>
      <w:r w:rsidRPr="002B72D6">
        <w:rPr>
          <w:rFonts w:ascii="Calibri Light" w:hAnsi="Calibri Light" w:cs="Calibri Light"/>
          <w:sz w:val="24"/>
          <w:szCs w:val="24"/>
        </w:rPr>
        <w:t>Sharpening tensions and heightened doubts concerning the U.S. role in the world will continue for several years</w:t>
      </w:r>
    </w:p>
    <w:p w14:paraId="040E53D1" w14:textId="29923A37" w:rsidR="009B364A" w:rsidRPr="002B72D6" w:rsidRDefault="009B364A" w:rsidP="00107D23">
      <w:pPr>
        <w:pStyle w:val="ListParagraph"/>
        <w:numPr>
          <w:ilvl w:val="0"/>
          <w:numId w:val="15"/>
        </w:numPr>
        <w:spacing w:line="240" w:lineRule="auto"/>
        <w:jc w:val="both"/>
        <w:rPr>
          <w:rFonts w:ascii="Calibri Light" w:hAnsi="Calibri Light" w:cs="Calibri Light"/>
          <w:sz w:val="24"/>
          <w:szCs w:val="24"/>
        </w:rPr>
      </w:pPr>
      <w:r w:rsidRPr="002B72D6">
        <w:rPr>
          <w:rFonts w:ascii="Calibri Light" w:hAnsi="Calibri Light" w:cs="Calibri Light"/>
          <w:sz w:val="24"/>
          <w:szCs w:val="24"/>
        </w:rPr>
        <w:t>The European Union will need to implement badly needed reforms to maintain its legitimacy</w:t>
      </w:r>
    </w:p>
    <w:p w14:paraId="78AE20AA" w14:textId="1320B896" w:rsidR="009B364A" w:rsidRPr="002B72D6" w:rsidRDefault="009B364A" w:rsidP="00107D23">
      <w:pPr>
        <w:pStyle w:val="ListParagraph"/>
        <w:numPr>
          <w:ilvl w:val="0"/>
          <w:numId w:val="15"/>
        </w:numPr>
        <w:spacing w:line="240" w:lineRule="auto"/>
        <w:jc w:val="both"/>
        <w:rPr>
          <w:rFonts w:ascii="Calibri Light" w:hAnsi="Calibri Light" w:cs="Calibri Light"/>
          <w:sz w:val="24"/>
          <w:szCs w:val="24"/>
        </w:rPr>
      </w:pPr>
      <w:r w:rsidRPr="002B72D6">
        <w:rPr>
          <w:rFonts w:ascii="Calibri Light" w:hAnsi="Calibri Light" w:cs="Calibri Light"/>
          <w:sz w:val="24"/>
          <w:szCs w:val="24"/>
        </w:rPr>
        <w:t xml:space="preserve">Ongoing uncertainty surrounding the future </w:t>
      </w:r>
      <w:r w:rsidR="00107D23">
        <w:rPr>
          <w:rFonts w:ascii="Calibri Light" w:hAnsi="Calibri Light" w:cs="Calibri Light"/>
          <w:sz w:val="24"/>
          <w:szCs w:val="24"/>
        </w:rPr>
        <w:t xml:space="preserve">of </w:t>
      </w:r>
      <w:r w:rsidRPr="002B72D6">
        <w:rPr>
          <w:rFonts w:ascii="Calibri Light" w:hAnsi="Calibri Light" w:cs="Calibri Light"/>
          <w:sz w:val="24"/>
          <w:szCs w:val="24"/>
        </w:rPr>
        <w:t>North Korea’s nuclear program</w:t>
      </w:r>
      <w:r w:rsidR="00107D23">
        <w:rPr>
          <w:rFonts w:ascii="Calibri Light" w:hAnsi="Calibri Light" w:cs="Calibri Light"/>
          <w:sz w:val="24"/>
          <w:szCs w:val="24"/>
        </w:rPr>
        <w:t>me</w:t>
      </w:r>
      <w:r w:rsidRPr="002B72D6">
        <w:rPr>
          <w:rFonts w:ascii="Calibri Light" w:hAnsi="Calibri Light" w:cs="Calibri Light"/>
          <w:sz w:val="24"/>
          <w:szCs w:val="24"/>
        </w:rPr>
        <w:t xml:space="preserve"> threaten </w:t>
      </w:r>
      <w:bookmarkStart w:id="1" w:name="_GoBack"/>
      <w:bookmarkEnd w:id="1"/>
      <w:r w:rsidRPr="002B72D6">
        <w:rPr>
          <w:rFonts w:ascii="Calibri Light" w:hAnsi="Calibri Light" w:cs="Calibri Light"/>
          <w:sz w:val="24"/>
          <w:szCs w:val="24"/>
        </w:rPr>
        <w:t>East Asian security</w:t>
      </w:r>
    </w:p>
    <w:p w14:paraId="3BF1A770" w14:textId="55964B13" w:rsidR="009B364A" w:rsidRPr="002B72D6" w:rsidRDefault="009B364A" w:rsidP="00107D23">
      <w:pPr>
        <w:pStyle w:val="ListParagraph"/>
        <w:numPr>
          <w:ilvl w:val="0"/>
          <w:numId w:val="15"/>
        </w:numPr>
        <w:spacing w:line="240" w:lineRule="auto"/>
        <w:jc w:val="both"/>
        <w:rPr>
          <w:rFonts w:ascii="Calibri Light" w:hAnsi="Calibri Light" w:cs="Calibri Light"/>
          <w:sz w:val="24"/>
          <w:szCs w:val="24"/>
        </w:rPr>
      </w:pPr>
      <w:r w:rsidRPr="002B72D6">
        <w:rPr>
          <w:rFonts w:ascii="Calibri Light" w:hAnsi="Calibri Light" w:cs="Calibri Light"/>
          <w:sz w:val="24"/>
          <w:szCs w:val="24"/>
        </w:rPr>
        <w:t>Expect increasing assertiveness from Beijing and Moscow as both governments seek to lock in competitive advantages</w:t>
      </w:r>
    </w:p>
    <w:p w14:paraId="7B04F41A" w14:textId="01CAF857" w:rsidR="009B364A" w:rsidRPr="002B72D6" w:rsidRDefault="009B364A" w:rsidP="00107D23">
      <w:pPr>
        <w:pStyle w:val="ListParagraph"/>
        <w:numPr>
          <w:ilvl w:val="0"/>
          <w:numId w:val="15"/>
        </w:numPr>
        <w:spacing w:line="240" w:lineRule="auto"/>
        <w:jc w:val="both"/>
        <w:rPr>
          <w:rFonts w:ascii="Calibri Light" w:hAnsi="Calibri Light" w:cs="Calibri Light"/>
          <w:sz w:val="24"/>
          <w:szCs w:val="24"/>
        </w:rPr>
      </w:pPr>
      <w:r w:rsidRPr="002B72D6">
        <w:rPr>
          <w:rFonts w:ascii="Calibri Light" w:hAnsi="Calibri Light" w:cs="Calibri Light"/>
          <w:sz w:val="24"/>
          <w:szCs w:val="24"/>
        </w:rPr>
        <w:t>The standoff between Russia and the West will continue throughout 2020</w:t>
      </w:r>
    </w:p>
    <w:p w14:paraId="24985E52" w14:textId="62A5CC50" w:rsidR="009B364A" w:rsidRPr="002B72D6" w:rsidRDefault="009B364A" w:rsidP="00107D23">
      <w:pPr>
        <w:pStyle w:val="ListParagraph"/>
        <w:numPr>
          <w:ilvl w:val="0"/>
          <w:numId w:val="15"/>
        </w:numPr>
        <w:spacing w:line="240" w:lineRule="auto"/>
        <w:jc w:val="both"/>
        <w:rPr>
          <w:rFonts w:ascii="Calibri Light" w:hAnsi="Calibri Light" w:cs="Calibri Light"/>
          <w:sz w:val="24"/>
          <w:szCs w:val="24"/>
        </w:rPr>
      </w:pPr>
      <w:r w:rsidRPr="002B72D6">
        <w:rPr>
          <w:rFonts w:ascii="Calibri Light" w:hAnsi="Calibri Light" w:cs="Calibri Light"/>
          <w:sz w:val="24"/>
          <w:szCs w:val="24"/>
        </w:rPr>
        <w:t>China, for its part, may have domestic concerns to grapple with this year</w:t>
      </w:r>
    </w:p>
    <w:p w14:paraId="119213A9" w14:textId="0D9C0770" w:rsidR="009B364A" w:rsidRPr="002B72D6" w:rsidRDefault="009B364A" w:rsidP="00107D23">
      <w:pPr>
        <w:pStyle w:val="ListParagraph"/>
        <w:numPr>
          <w:ilvl w:val="0"/>
          <w:numId w:val="15"/>
        </w:numPr>
        <w:spacing w:line="240" w:lineRule="auto"/>
        <w:jc w:val="both"/>
        <w:rPr>
          <w:rFonts w:ascii="Calibri Light" w:hAnsi="Calibri Light" w:cs="Calibri Light"/>
          <w:sz w:val="24"/>
          <w:szCs w:val="24"/>
        </w:rPr>
      </w:pPr>
      <w:r w:rsidRPr="002B72D6">
        <w:rPr>
          <w:rFonts w:ascii="Calibri Light" w:hAnsi="Calibri Light" w:cs="Calibri Light"/>
          <w:sz w:val="24"/>
          <w:szCs w:val="24"/>
        </w:rPr>
        <w:t>Expect Persisting Volatility in Southeast Asia</w:t>
      </w:r>
    </w:p>
    <w:p w14:paraId="7F57F234" w14:textId="35D60D29" w:rsidR="009B364A" w:rsidRPr="002B72D6" w:rsidRDefault="009B364A" w:rsidP="00107D23">
      <w:pPr>
        <w:pStyle w:val="ListParagraph"/>
        <w:numPr>
          <w:ilvl w:val="0"/>
          <w:numId w:val="15"/>
        </w:numPr>
        <w:spacing w:line="240" w:lineRule="auto"/>
        <w:jc w:val="both"/>
        <w:rPr>
          <w:rFonts w:ascii="Calibri Light" w:hAnsi="Calibri Light" w:cs="Calibri Light"/>
          <w:sz w:val="24"/>
          <w:szCs w:val="24"/>
        </w:rPr>
      </w:pPr>
      <w:r w:rsidRPr="002B72D6">
        <w:rPr>
          <w:rFonts w:ascii="Calibri Light" w:hAnsi="Calibri Light" w:cs="Calibri Light"/>
          <w:sz w:val="24"/>
          <w:szCs w:val="24"/>
        </w:rPr>
        <w:t>Violent extremism, terrorism, and instability will continue to hang over Afghanistan, Pakistan, and the region’s fragile communal relations</w:t>
      </w:r>
    </w:p>
    <w:p w14:paraId="645B525C" w14:textId="77777777" w:rsidR="00EA24BE" w:rsidRDefault="00EA24BE" w:rsidP="00EA24BE">
      <w:pPr>
        <w:spacing w:line="240" w:lineRule="auto"/>
        <w:ind w:left="360"/>
        <w:rPr>
          <w:rFonts w:ascii="Calibri Light" w:hAnsi="Calibri Light" w:cs="Calibri Light"/>
          <w:sz w:val="24"/>
          <w:szCs w:val="24"/>
        </w:rPr>
      </w:pPr>
    </w:p>
    <w:p w14:paraId="29E52FF9" w14:textId="216615B4" w:rsidR="00A36595" w:rsidRPr="00EA24BE" w:rsidRDefault="0047536F" w:rsidP="00EA24BE">
      <w:pPr>
        <w:spacing w:line="240" w:lineRule="auto"/>
        <w:ind w:left="360"/>
        <w:rPr>
          <w:sz w:val="24"/>
          <w:szCs w:val="24"/>
          <w:highlight w:val="yellow"/>
        </w:rPr>
      </w:pPr>
      <w:r w:rsidRPr="00EA24BE">
        <w:rPr>
          <w:rFonts w:ascii="Calibri Light" w:hAnsi="Calibri Light" w:cs="Calibri Light"/>
          <w:sz w:val="24"/>
          <w:szCs w:val="24"/>
        </w:rPr>
        <w:t>Threats from terrorist and insurgent groups will persist and are likely to become more</w:t>
      </w:r>
      <w:r w:rsidRPr="00EA24BE">
        <w:rPr>
          <w:rFonts w:ascii="Calibri" w:hAnsi="Calibri" w:cs="Calibri"/>
          <w:sz w:val="24"/>
          <w:szCs w:val="24"/>
        </w:rPr>
        <w:t xml:space="preserve"> </w:t>
      </w:r>
      <w:r w:rsidR="00297AD1" w:rsidRPr="00EA24BE">
        <w:rPr>
          <w:rFonts w:ascii="Calibri" w:hAnsi="Calibri" w:cs="Calibri"/>
          <w:sz w:val="24"/>
          <w:szCs w:val="24"/>
        </w:rPr>
        <w:t>decentralised</w:t>
      </w:r>
      <w:r w:rsidR="002C4EDC" w:rsidRPr="00EA24BE">
        <w:rPr>
          <w:rFonts w:ascii="Calibri" w:hAnsi="Calibri" w:cs="Calibri"/>
          <w:sz w:val="24"/>
          <w:szCs w:val="24"/>
        </w:rPr>
        <w:t>.</w:t>
      </w:r>
    </w:p>
    <w:sectPr w:rsidR="00A36595" w:rsidRPr="00EA24BE" w:rsidSect="00C9149E">
      <w:headerReference w:type="default" r:id="rId13"/>
      <w:footerReference w:type="even" r:id="rId14"/>
      <w:footerReference w:type="default" r:id="rId15"/>
      <w:headerReference w:type="first" r:id="rId16"/>
      <w:footerReference w:type="first" r:id="rId17"/>
      <w:pgSz w:w="11907" w:h="16839" w:code="9"/>
      <w:pgMar w:top="2410" w:right="1138" w:bottom="288" w:left="1282" w:header="180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470BC4" w14:textId="77777777" w:rsidR="00ED5D37" w:rsidRDefault="00ED5D37">
      <w:r>
        <w:separator/>
      </w:r>
    </w:p>
    <w:p w14:paraId="0E9B3127" w14:textId="77777777" w:rsidR="00ED5D37" w:rsidRDefault="00ED5D37"/>
  </w:endnote>
  <w:endnote w:type="continuationSeparator" w:id="0">
    <w:p w14:paraId="4BFA9E92" w14:textId="77777777" w:rsidR="00ED5D37" w:rsidRDefault="00ED5D37">
      <w:r>
        <w:continuationSeparator/>
      </w:r>
    </w:p>
    <w:p w14:paraId="68A2193C" w14:textId="77777777" w:rsidR="00ED5D37" w:rsidRDefault="00ED5D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Rotis Sans Serif Std Light">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MoolBoran">
    <w:charset w:val="00"/>
    <w:family w:val="swiss"/>
    <w:pitch w:val="variable"/>
    <w:sig w:usb0="80000003" w:usb1="00000000" w:usb2="00010000" w:usb3="00000000" w:csb0="00000001" w:csb1="00000000"/>
  </w:font>
  <w:font w:name="Berlin Sans FB">
    <w:panose1 w:val="020E0602020502020306"/>
    <w:charset w:val="00"/>
    <w:family w:val="swiss"/>
    <w:pitch w:val="variable"/>
    <w:sig w:usb0="00000003" w:usb1="00000000" w:usb2="00000000" w:usb3="00000000" w:csb0="00000001" w:csb1="00000000"/>
  </w:font>
  <w:font w:name="Mohareb 4">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565631" w14:textId="77777777" w:rsidR="005673B8" w:rsidRDefault="005673B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2A3556B1" w14:textId="77777777" w:rsidR="005673B8" w:rsidRDefault="005673B8">
    <w:pPr>
      <w:pStyle w:val="Footer"/>
    </w:pPr>
  </w:p>
  <w:p w14:paraId="5B4B8350" w14:textId="77777777" w:rsidR="005673B8" w:rsidRDefault="005673B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583648" w14:textId="77777777" w:rsidR="005673B8" w:rsidRDefault="005673B8" w:rsidP="00525A49">
    <w:pPr>
      <w:pStyle w:val="Footer"/>
      <w:spacing w:before="0" w:line="216" w:lineRule="auto"/>
      <w:ind w:right="-24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A64743" w14:textId="77777777" w:rsidR="005673B8" w:rsidRPr="00CF38EC" w:rsidRDefault="008F2B42" w:rsidP="00E37200">
    <w:pPr>
      <w:pStyle w:val="Header"/>
      <w:bidi/>
      <w:spacing w:after="120" w:line="240" w:lineRule="auto"/>
      <w:ind w:right="-709"/>
      <w:jc w:val="left"/>
      <w:rPr>
        <w:rFonts w:ascii="Berlin Sans FB" w:hAnsi="Berlin Sans FB" w:cs="Mohareb 4"/>
        <w:szCs w:val="16"/>
      </w:rPr>
    </w:pPr>
    <w:r>
      <w:rPr>
        <w:noProof/>
      </w:rPr>
      <w:drawing>
        <wp:anchor distT="0" distB="0" distL="114300" distR="114300" simplePos="0" relativeHeight="251659264" behindDoc="0" locked="0" layoutInCell="1" allowOverlap="1" wp14:anchorId="5269C69F" wp14:editId="3EF59D53">
          <wp:simplePos x="0" y="0"/>
          <wp:positionH relativeFrom="page">
            <wp:align>center</wp:align>
          </wp:positionH>
          <wp:positionV relativeFrom="paragraph">
            <wp:posOffset>360045</wp:posOffset>
          </wp:positionV>
          <wp:extent cx="7369200" cy="403200"/>
          <wp:effectExtent l="0" t="0" r="0" b="0"/>
          <wp:wrapThrough wrapText="bothSides">
            <wp:wrapPolygon edited="0">
              <wp:start x="0" y="0"/>
              <wp:lineTo x="0" y="20442"/>
              <wp:lineTo x="21498" y="20442"/>
              <wp:lineTo x="21498" y="0"/>
              <wp:lineTo x="0" y="0"/>
            </wp:wrapPolygon>
          </wp:wrapThrough>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369200" cy="4032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6803E5" w14:textId="77777777" w:rsidR="00ED5D37" w:rsidRDefault="00ED5D37">
      <w:r>
        <w:separator/>
      </w:r>
    </w:p>
    <w:p w14:paraId="426A391D" w14:textId="77777777" w:rsidR="00ED5D37" w:rsidRDefault="00ED5D37"/>
  </w:footnote>
  <w:footnote w:type="continuationSeparator" w:id="0">
    <w:p w14:paraId="173F142B" w14:textId="77777777" w:rsidR="00ED5D37" w:rsidRDefault="00ED5D37">
      <w:r>
        <w:continuationSeparator/>
      </w:r>
    </w:p>
    <w:p w14:paraId="69F57DA0" w14:textId="77777777" w:rsidR="00ED5D37" w:rsidRDefault="00ED5D3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F07714" w14:textId="77777777" w:rsidR="00256256" w:rsidRDefault="0095634F" w:rsidP="00697E97">
    <w:pPr>
      <w:bidi/>
      <w:ind w:left="-403" w:right="-450"/>
      <w:jc w:val="center"/>
      <w:rPr>
        <w:rFonts w:ascii="MoolBoran" w:hAnsi="MoolBoran" w:cs="MoolBoran"/>
        <w:sz w:val="16"/>
        <w:szCs w:val="16"/>
        <w:rtl/>
        <w:lang w:bidi="ar-QA"/>
      </w:rPr>
    </w:pPr>
    <w:r w:rsidRPr="0095634F">
      <w:rPr>
        <w:rFonts w:ascii="MoolBoran" w:hAnsi="MoolBoran"/>
        <w:noProof/>
        <w:sz w:val="16"/>
        <w:szCs w:val="16"/>
        <w:rtl/>
      </w:rPr>
      <w:drawing>
        <wp:anchor distT="0" distB="0" distL="114300" distR="114300" simplePos="0" relativeHeight="251676672" behindDoc="0" locked="0" layoutInCell="1" allowOverlap="1" wp14:anchorId="30648854" wp14:editId="1BCEC8C6">
          <wp:simplePos x="0" y="0"/>
          <wp:positionH relativeFrom="column">
            <wp:posOffset>-433070</wp:posOffset>
          </wp:positionH>
          <wp:positionV relativeFrom="page">
            <wp:posOffset>233499</wp:posOffset>
          </wp:positionV>
          <wp:extent cx="6672580" cy="1122680"/>
          <wp:effectExtent l="0" t="0" r="0" b="1270"/>
          <wp:wrapSquare wrapText="bothSides"/>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head-template-2018-VER-066.jpg"/>
                  <pic:cNvPicPr/>
                </pic:nvPicPr>
                <pic:blipFill>
                  <a:blip r:embed="rId1">
                    <a:extLst>
                      <a:ext uri="{28A0092B-C50C-407E-A947-70E740481C1C}">
                        <a14:useLocalDpi xmlns:a14="http://schemas.microsoft.com/office/drawing/2010/main" val="0"/>
                      </a:ext>
                    </a:extLst>
                  </a:blip>
                  <a:stretch>
                    <a:fillRect/>
                  </a:stretch>
                </pic:blipFill>
                <pic:spPr>
                  <a:xfrm>
                    <a:off x="0" y="0"/>
                    <a:ext cx="6672580" cy="1122680"/>
                  </a:xfrm>
                  <a:prstGeom prst="rect">
                    <a:avLst/>
                  </a:prstGeom>
                </pic:spPr>
              </pic:pic>
            </a:graphicData>
          </a:graphic>
          <wp14:sizeRelH relativeFrom="page">
            <wp14:pctWidth>0</wp14:pctWidth>
          </wp14:sizeRelH>
          <wp14:sizeRelV relativeFrom="page">
            <wp14:pctHeight>0</wp14:pctHeight>
          </wp14:sizeRelV>
        </wp:anchor>
      </w:drawing>
    </w:r>
    <w:r w:rsidRPr="0095634F">
      <w:rPr>
        <w:rFonts w:ascii="MoolBoran" w:hAnsi="MoolBoran"/>
        <w:noProof/>
        <w:sz w:val="16"/>
        <w:szCs w:val="16"/>
        <w:rtl/>
      </w:rPr>
      <w:drawing>
        <wp:anchor distT="0" distB="0" distL="114300" distR="114300" simplePos="0" relativeHeight="251677696" behindDoc="0" locked="0" layoutInCell="1" allowOverlap="1" wp14:anchorId="66F907A1" wp14:editId="7AA69210">
          <wp:simplePos x="0" y="0"/>
          <wp:positionH relativeFrom="margin">
            <wp:posOffset>-413385</wp:posOffset>
          </wp:positionH>
          <wp:positionV relativeFrom="page">
            <wp:posOffset>9973310</wp:posOffset>
          </wp:positionV>
          <wp:extent cx="6786000" cy="399600"/>
          <wp:effectExtent l="0" t="0" r="0" b="635"/>
          <wp:wrapSquare wrapText="bothSides"/>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OTER-letterhead-template-2018-approved.jpg"/>
                  <pic:cNvPicPr/>
                </pic:nvPicPr>
                <pic:blipFill>
                  <a:blip r:embed="rId2">
                    <a:extLst>
                      <a:ext uri="{28A0092B-C50C-407E-A947-70E740481C1C}">
                        <a14:useLocalDpi xmlns:a14="http://schemas.microsoft.com/office/drawing/2010/main" val="0"/>
                      </a:ext>
                    </a:extLst>
                  </a:blip>
                  <a:stretch>
                    <a:fillRect/>
                  </a:stretch>
                </pic:blipFill>
                <pic:spPr>
                  <a:xfrm>
                    <a:off x="0" y="0"/>
                    <a:ext cx="6786000" cy="399600"/>
                  </a:xfrm>
                  <a:prstGeom prst="rect">
                    <a:avLst/>
                  </a:prstGeom>
                </pic:spPr>
              </pic:pic>
            </a:graphicData>
          </a:graphic>
          <wp14:sizeRelH relativeFrom="margin">
            <wp14:pctWidth>0</wp14:pctWidth>
          </wp14:sizeRelH>
          <wp14:sizeRelV relativeFrom="margin">
            <wp14:pctHeight>0</wp14:pctHeight>
          </wp14:sizeRelV>
        </wp:anchor>
      </w:drawing>
    </w:r>
    <w:r w:rsidR="00292549" w:rsidRPr="00292549">
      <w:rPr>
        <w:rFonts w:ascii="MoolBoran" w:hAnsi="MoolBoran"/>
        <w:noProof/>
        <w:sz w:val="16"/>
        <w:szCs w:val="16"/>
        <w:rtl/>
      </w:rPr>
      <w:drawing>
        <wp:anchor distT="0" distB="0" distL="114300" distR="114300" simplePos="0" relativeHeight="251674624" behindDoc="0" locked="0" layoutInCell="1" allowOverlap="1" wp14:anchorId="633E6333" wp14:editId="6B70913D">
          <wp:simplePos x="0" y="0"/>
          <wp:positionH relativeFrom="margin">
            <wp:posOffset>0</wp:posOffset>
          </wp:positionH>
          <wp:positionV relativeFrom="paragraph">
            <wp:posOffset>9911080</wp:posOffset>
          </wp:positionV>
          <wp:extent cx="7151370" cy="458470"/>
          <wp:effectExtent l="0" t="0" r="0" b="0"/>
          <wp:wrapSquare wrapText="bothSides"/>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etterhead-template-FOOTER2018-VER-08.jpg"/>
                  <pic:cNvPicPr/>
                </pic:nvPicPr>
                <pic:blipFill>
                  <a:blip r:embed="rId3">
                    <a:extLst>
                      <a:ext uri="{28A0092B-C50C-407E-A947-70E740481C1C}">
                        <a14:useLocalDpi xmlns:a14="http://schemas.microsoft.com/office/drawing/2010/main" val="0"/>
                      </a:ext>
                    </a:extLst>
                  </a:blip>
                  <a:stretch>
                    <a:fillRect/>
                  </a:stretch>
                </pic:blipFill>
                <pic:spPr bwMode="auto">
                  <a:xfrm>
                    <a:off x="0" y="0"/>
                    <a:ext cx="7151370" cy="4584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4697DD" w14:textId="77777777" w:rsidR="00AF3618" w:rsidRDefault="00C51321" w:rsidP="00C86D56">
    <w:pPr>
      <w:bidi/>
      <w:jc w:val="center"/>
      <w:rPr>
        <w:rFonts w:ascii="MoolBoran" w:hAnsi="MoolBoran" w:cs="MoolBoran"/>
        <w:sz w:val="16"/>
        <w:szCs w:val="16"/>
        <w:lang w:bidi="ar-QA"/>
      </w:rPr>
    </w:pPr>
    <w:r w:rsidRPr="008A555E">
      <w:rPr>
        <w:noProof/>
        <w:color w:val="F8E67C"/>
      </w:rPr>
      <w:drawing>
        <wp:anchor distT="0" distB="0" distL="114300" distR="114300" simplePos="0" relativeHeight="251658240" behindDoc="1" locked="0" layoutInCell="1" allowOverlap="1" wp14:anchorId="5880B8B6" wp14:editId="5D3AF927">
          <wp:simplePos x="0" y="0"/>
          <wp:positionH relativeFrom="margin">
            <wp:align>center</wp:align>
          </wp:positionH>
          <wp:positionV relativeFrom="paragraph">
            <wp:posOffset>-605155</wp:posOffset>
          </wp:positionV>
          <wp:extent cx="1894205" cy="336550"/>
          <wp:effectExtent l="0" t="0" r="0" b="6350"/>
          <wp:wrapThrough wrapText="bothSides">
            <wp:wrapPolygon edited="0">
              <wp:start x="3476" y="1223"/>
              <wp:lineTo x="0" y="11004"/>
              <wp:lineTo x="434" y="18340"/>
              <wp:lineTo x="19768" y="20785"/>
              <wp:lineTo x="20637" y="20785"/>
              <wp:lineTo x="21289" y="11004"/>
              <wp:lineTo x="20420" y="8558"/>
              <wp:lineTo x="9341" y="1223"/>
              <wp:lineTo x="3476" y="1223"/>
            </wp:wrapPolygon>
          </wp:wrapThrough>
          <wp:docPr id="32" name="Picture 32" descr="http://upload.wikimedia.org/wikipedia/commons/thumb/2/27/Basmala.svg/608px-Basmal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 descr="http://upload.wikimedia.org/wikipedia/commons/thumb/2/27/Basmala.svg/608px-Basmala.svg.png"/>
                  <pic:cNvPicPr>
                    <a:picLocks noChangeAspect="1" noChangeArrowheads="1"/>
                  </pic:cNvPicPr>
                </pic:nvPicPr>
                <pic:blipFill>
                  <a:blip r:embed="rId1">
                    <a:extLst>
                      <a:ext uri="{BEBA8EAE-BF5A-486C-A8C5-ECC9F3942E4B}">
                        <a14:imgProps xmlns:a14="http://schemas.microsoft.com/office/drawing/2010/main">
                          <a14:imgLayer r:embed="rId2">
                            <a14:imgEffect>
                              <a14:artisticMarker/>
                            </a14:imgEffect>
                          </a14:imgLayer>
                        </a14:imgProps>
                      </a:ext>
                      <a:ext uri="{28A0092B-C50C-407E-A947-70E740481C1C}">
                        <a14:useLocalDpi xmlns:a14="http://schemas.microsoft.com/office/drawing/2010/main" val="0"/>
                      </a:ext>
                    </a:extLst>
                  </a:blip>
                  <a:srcRect/>
                  <a:stretch>
                    <a:fillRect/>
                  </a:stretch>
                </pic:blipFill>
                <pic:spPr bwMode="auto">
                  <a:xfrm>
                    <a:off x="0" y="0"/>
                    <a:ext cx="1894205" cy="336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12782">
      <w:rPr>
        <w:noProof/>
      </w:rPr>
      <w:drawing>
        <wp:inline distT="0" distB="0" distL="0" distR="0" wp14:anchorId="3A75419B" wp14:editId="3F62BB7D">
          <wp:extent cx="5160779" cy="540385"/>
          <wp:effectExtent l="0" t="0" r="190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stretch>
                    <a:fillRect/>
                  </a:stretch>
                </pic:blipFill>
                <pic:spPr>
                  <a:xfrm>
                    <a:off x="0" y="0"/>
                    <a:ext cx="5355848" cy="560811"/>
                  </a:xfrm>
                  <a:prstGeom prst="rect">
                    <a:avLst/>
                  </a:prstGeom>
                </pic:spPr>
              </pic:pic>
            </a:graphicData>
          </a:graphic>
        </wp:inline>
      </w:drawing>
    </w:r>
  </w:p>
  <w:p w14:paraId="3A3CA5B8" w14:textId="77777777" w:rsidR="00A7196F" w:rsidRPr="00A7196F" w:rsidRDefault="00ED5D37" w:rsidP="00AF3618">
    <w:pPr>
      <w:bidi/>
      <w:jc w:val="center"/>
      <w:rPr>
        <w:rFonts w:ascii="MoolBoran" w:hAnsi="MoolBoran" w:cs="MoolBoran"/>
        <w:caps/>
        <w:rtl/>
        <w:lang w:bidi="ar-QA"/>
      </w:rPr>
    </w:pPr>
    <w:r>
      <w:rPr>
        <w:rFonts w:ascii="MoolBoran" w:hAnsi="MoolBoran" w:cs="MoolBoran"/>
        <w:sz w:val="16"/>
        <w:szCs w:val="16"/>
        <w:lang w:bidi="ar-QA"/>
      </w:rPr>
      <w:pict w14:anchorId="49BF7EA1">
        <v:rect id="_x0000_i1025" style="width:474.85pt;height:1.5pt" o:hralign="center" o:hrstd="t" o:hrnoshade="t" o:hr="t" fillcolor="black [3213]"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022F7"/>
    <w:multiLevelType w:val="hybridMultilevel"/>
    <w:tmpl w:val="2FF2C2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7F46D0"/>
    <w:multiLevelType w:val="hybridMultilevel"/>
    <w:tmpl w:val="95624D78"/>
    <w:lvl w:ilvl="0" w:tplc="C5840D58">
      <w:start w:val="1"/>
      <w:numFmt w:val="decimal"/>
      <w:lvlText w:val="%1)"/>
      <w:lvlJc w:val="left"/>
      <w:pPr>
        <w:ind w:left="4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2" w15:restartNumberingAfterBreak="0">
    <w:nsid w:val="0D157FF4"/>
    <w:multiLevelType w:val="hybridMultilevel"/>
    <w:tmpl w:val="70026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AE2F6A"/>
    <w:multiLevelType w:val="hybridMultilevel"/>
    <w:tmpl w:val="7A1283DC"/>
    <w:lvl w:ilvl="0" w:tplc="D442A12C">
      <w:numFmt w:val="bullet"/>
      <w:lvlText w:val="•"/>
      <w:lvlJc w:val="left"/>
      <w:pPr>
        <w:ind w:left="1080" w:hanging="72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E67417"/>
    <w:multiLevelType w:val="hybridMultilevel"/>
    <w:tmpl w:val="9FDC4E9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0B70759"/>
    <w:multiLevelType w:val="hybridMultilevel"/>
    <w:tmpl w:val="6ECAD55E"/>
    <w:lvl w:ilvl="0" w:tplc="C5840D58">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6" w15:restartNumberingAfterBreak="0">
    <w:nsid w:val="3AD95A1B"/>
    <w:multiLevelType w:val="hybridMultilevel"/>
    <w:tmpl w:val="F392D5A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C11428"/>
    <w:multiLevelType w:val="hybridMultilevel"/>
    <w:tmpl w:val="0A6C53D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4390F66"/>
    <w:multiLevelType w:val="hybridMultilevel"/>
    <w:tmpl w:val="4D7CDF3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86E685A"/>
    <w:multiLevelType w:val="hybridMultilevel"/>
    <w:tmpl w:val="04C09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CA17822"/>
    <w:multiLevelType w:val="hybridMultilevel"/>
    <w:tmpl w:val="6448758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EAA14BF"/>
    <w:multiLevelType w:val="hybridMultilevel"/>
    <w:tmpl w:val="38242C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87122A9"/>
    <w:multiLevelType w:val="hybridMultilevel"/>
    <w:tmpl w:val="DD7A2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2E6ABE"/>
    <w:multiLevelType w:val="hybridMultilevel"/>
    <w:tmpl w:val="A04294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0512E2A"/>
    <w:multiLevelType w:val="hybridMultilevel"/>
    <w:tmpl w:val="968AC9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25746BD"/>
    <w:multiLevelType w:val="hybridMultilevel"/>
    <w:tmpl w:val="0248BF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28D6760"/>
    <w:multiLevelType w:val="hybridMultilevel"/>
    <w:tmpl w:val="500AF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31716A9"/>
    <w:multiLevelType w:val="hybridMultilevel"/>
    <w:tmpl w:val="F384C4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46E625A"/>
    <w:multiLevelType w:val="hybridMultilevel"/>
    <w:tmpl w:val="E4FC1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5A64318"/>
    <w:multiLevelType w:val="hybridMultilevel"/>
    <w:tmpl w:val="47F87C1C"/>
    <w:lvl w:ilvl="0" w:tplc="D442A12C">
      <w:numFmt w:val="bullet"/>
      <w:lvlText w:val="•"/>
      <w:lvlJc w:val="left"/>
      <w:pPr>
        <w:ind w:left="1440" w:hanging="720"/>
      </w:pPr>
      <w:rPr>
        <w:rFonts w:ascii="Calibri" w:eastAsiaTheme="minorEastAsia"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760E3EF3"/>
    <w:multiLevelType w:val="hybridMultilevel"/>
    <w:tmpl w:val="5E6A5BC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EC35E8"/>
    <w:multiLevelType w:val="hybridMultilevel"/>
    <w:tmpl w:val="864A24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7"/>
  </w:num>
  <w:num w:numId="2">
    <w:abstractNumId w:val="11"/>
  </w:num>
  <w:num w:numId="3">
    <w:abstractNumId w:val="13"/>
  </w:num>
  <w:num w:numId="4">
    <w:abstractNumId w:val="0"/>
  </w:num>
  <w:num w:numId="5">
    <w:abstractNumId w:val="12"/>
  </w:num>
  <w:num w:numId="6">
    <w:abstractNumId w:val="6"/>
  </w:num>
  <w:num w:numId="7">
    <w:abstractNumId w:val="20"/>
  </w:num>
  <w:num w:numId="8">
    <w:abstractNumId w:val="15"/>
  </w:num>
  <w:num w:numId="9">
    <w:abstractNumId w:val="10"/>
  </w:num>
  <w:num w:numId="10">
    <w:abstractNumId w:val="5"/>
  </w:num>
  <w:num w:numId="11">
    <w:abstractNumId w:val="8"/>
  </w:num>
  <w:num w:numId="12">
    <w:abstractNumId w:val="4"/>
  </w:num>
  <w:num w:numId="13">
    <w:abstractNumId w:val="18"/>
  </w:num>
  <w:num w:numId="14">
    <w:abstractNumId w:val="9"/>
  </w:num>
  <w:num w:numId="15">
    <w:abstractNumId w:val="14"/>
  </w:num>
  <w:num w:numId="16">
    <w:abstractNumId w:val="2"/>
  </w:num>
  <w:num w:numId="17">
    <w:abstractNumId w:val="16"/>
  </w:num>
  <w:num w:numId="18">
    <w:abstractNumId w:val="17"/>
  </w:num>
  <w:num w:numId="19">
    <w:abstractNumId w:val="3"/>
  </w:num>
  <w:num w:numId="20">
    <w:abstractNumId w:val="19"/>
  </w:num>
  <w:num w:numId="21">
    <w:abstractNumId w:val="1"/>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8" w:dllVersion="513" w:checkStyle="1"/>
  <w:proofState w:spelling="clean" w:grammar="clean"/>
  <w:attachedTemplate r:id="rId1"/>
  <w:defaultTabStop w:val="720"/>
  <w:drawingGridHorizontalSpacing w:val="187"/>
  <w:drawingGridVerticalSpacing w:val="187"/>
  <w:doNotUseMarginsForDrawingGridOrigin/>
  <w:drawingGridHorizontalOrigin w:val="1699"/>
  <w:drawingGridVerticalOrigin w:val="1987"/>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782"/>
    <w:rsid w:val="000053DC"/>
    <w:rsid w:val="00005926"/>
    <w:rsid w:val="00010566"/>
    <w:rsid w:val="00012384"/>
    <w:rsid w:val="00015C17"/>
    <w:rsid w:val="000241D4"/>
    <w:rsid w:val="0002482B"/>
    <w:rsid w:val="00025A5B"/>
    <w:rsid w:val="00033424"/>
    <w:rsid w:val="0003669A"/>
    <w:rsid w:val="00041C84"/>
    <w:rsid w:val="0004264D"/>
    <w:rsid w:val="00047580"/>
    <w:rsid w:val="000531C7"/>
    <w:rsid w:val="00054DE2"/>
    <w:rsid w:val="00055017"/>
    <w:rsid w:val="00060CD6"/>
    <w:rsid w:val="00083234"/>
    <w:rsid w:val="000834C4"/>
    <w:rsid w:val="00094169"/>
    <w:rsid w:val="000A26C6"/>
    <w:rsid w:val="000A7FD7"/>
    <w:rsid w:val="000B3E79"/>
    <w:rsid w:val="000B4297"/>
    <w:rsid w:val="000B70AF"/>
    <w:rsid w:val="000C35BD"/>
    <w:rsid w:val="000D142B"/>
    <w:rsid w:val="000D1A82"/>
    <w:rsid w:val="000D4049"/>
    <w:rsid w:val="000D46EC"/>
    <w:rsid w:val="000F4419"/>
    <w:rsid w:val="000F47EC"/>
    <w:rsid w:val="000F58A5"/>
    <w:rsid w:val="000F7D1D"/>
    <w:rsid w:val="00104989"/>
    <w:rsid w:val="00107D23"/>
    <w:rsid w:val="00112782"/>
    <w:rsid w:val="001148A4"/>
    <w:rsid w:val="0012347A"/>
    <w:rsid w:val="00127FB1"/>
    <w:rsid w:val="00130668"/>
    <w:rsid w:val="00132950"/>
    <w:rsid w:val="00135D0F"/>
    <w:rsid w:val="00141F2F"/>
    <w:rsid w:val="00145CD8"/>
    <w:rsid w:val="0015410B"/>
    <w:rsid w:val="001557D4"/>
    <w:rsid w:val="00157F0A"/>
    <w:rsid w:val="00163A80"/>
    <w:rsid w:val="001658F6"/>
    <w:rsid w:val="00181AC2"/>
    <w:rsid w:val="00191A5E"/>
    <w:rsid w:val="00193F3C"/>
    <w:rsid w:val="0019455C"/>
    <w:rsid w:val="001A2EA0"/>
    <w:rsid w:val="001B156B"/>
    <w:rsid w:val="001B2130"/>
    <w:rsid w:val="001B666A"/>
    <w:rsid w:val="001B6E71"/>
    <w:rsid w:val="001B7943"/>
    <w:rsid w:val="001D7DF1"/>
    <w:rsid w:val="001E32B7"/>
    <w:rsid w:val="001F613F"/>
    <w:rsid w:val="001F6FE1"/>
    <w:rsid w:val="002033AA"/>
    <w:rsid w:val="00204CBD"/>
    <w:rsid w:val="00205E9C"/>
    <w:rsid w:val="002107AC"/>
    <w:rsid w:val="002141A7"/>
    <w:rsid w:val="00221FE9"/>
    <w:rsid w:val="00223B7B"/>
    <w:rsid w:val="00224547"/>
    <w:rsid w:val="0023209B"/>
    <w:rsid w:val="002413B1"/>
    <w:rsid w:val="00246861"/>
    <w:rsid w:val="00253878"/>
    <w:rsid w:val="00256256"/>
    <w:rsid w:val="0026178C"/>
    <w:rsid w:val="0026184D"/>
    <w:rsid w:val="00274456"/>
    <w:rsid w:val="00274FC9"/>
    <w:rsid w:val="00277B80"/>
    <w:rsid w:val="002807A6"/>
    <w:rsid w:val="002814EB"/>
    <w:rsid w:val="00291040"/>
    <w:rsid w:val="00292549"/>
    <w:rsid w:val="00292AAE"/>
    <w:rsid w:val="0029312A"/>
    <w:rsid w:val="00297AD1"/>
    <w:rsid w:val="002A4EE2"/>
    <w:rsid w:val="002A7612"/>
    <w:rsid w:val="002B0BF6"/>
    <w:rsid w:val="002B35FA"/>
    <w:rsid w:val="002B72D6"/>
    <w:rsid w:val="002C0435"/>
    <w:rsid w:val="002C4EDC"/>
    <w:rsid w:val="002C6A15"/>
    <w:rsid w:val="002D1E29"/>
    <w:rsid w:val="002D5755"/>
    <w:rsid w:val="002E0A09"/>
    <w:rsid w:val="002E2214"/>
    <w:rsid w:val="002E6158"/>
    <w:rsid w:val="002F0ECC"/>
    <w:rsid w:val="0032566B"/>
    <w:rsid w:val="00327249"/>
    <w:rsid w:val="00330404"/>
    <w:rsid w:val="00332DB6"/>
    <w:rsid w:val="00335A0D"/>
    <w:rsid w:val="00336432"/>
    <w:rsid w:val="003376DA"/>
    <w:rsid w:val="003379B1"/>
    <w:rsid w:val="0034513D"/>
    <w:rsid w:val="003473E3"/>
    <w:rsid w:val="003526E3"/>
    <w:rsid w:val="00352EF3"/>
    <w:rsid w:val="003659FC"/>
    <w:rsid w:val="003663DB"/>
    <w:rsid w:val="003671C0"/>
    <w:rsid w:val="00367DE4"/>
    <w:rsid w:val="00372181"/>
    <w:rsid w:val="00375DB1"/>
    <w:rsid w:val="00376493"/>
    <w:rsid w:val="003813DA"/>
    <w:rsid w:val="00386ED0"/>
    <w:rsid w:val="00392CD2"/>
    <w:rsid w:val="003966B3"/>
    <w:rsid w:val="003A5C62"/>
    <w:rsid w:val="003B153D"/>
    <w:rsid w:val="003D096D"/>
    <w:rsid w:val="003D6589"/>
    <w:rsid w:val="003E4317"/>
    <w:rsid w:val="003E43DF"/>
    <w:rsid w:val="003F1592"/>
    <w:rsid w:val="003F4683"/>
    <w:rsid w:val="003F59D2"/>
    <w:rsid w:val="004031DC"/>
    <w:rsid w:val="00443E74"/>
    <w:rsid w:val="00444509"/>
    <w:rsid w:val="00457364"/>
    <w:rsid w:val="0047536F"/>
    <w:rsid w:val="00475FF2"/>
    <w:rsid w:val="004836E2"/>
    <w:rsid w:val="004869A0"/>
    <w:rsid w:val="00487CD5"/>
    <w:rsid w:val="004948B8"/>
    <w:rsid w:val="004A07C2"/>
    <w:rsid w:val="004A27D0"/>
    <w:rsid w:val="004A6577"/>
    <w:rsid w:val="004C2BD8"/>
    <w:rsid w:val="004C4167"/>
    <w:rsid w:val="004C7837"/>
    <w:rsid w:val="004C7A4E"/>
    <w:rsid w:val="004D0133"/>
    <w:rsid w:val="004D24A0"/>
    <w:rsid w:val="004D3493"/>
    <w:rsid w:val="004D5A3C"/>
    <w:rsid w:val="004E100C"/>
    <w:rsid w:val="004E436B"/>
    <w:rsid w:val="004E6EDA"/>
    <w:rsid w:val="004E7470"/>
    <w:rsid w:val="004F5055"/>
    <w:rsid w:val="004F72EE"/>
    <w:rsid w:val="00502CBA"/>
    <w:rsid w:val="0050425A"/>
    <w:rsid w:val="00507AA7"/>
    <w:rsid w:val="005135A9"/>
    <w:rsid w:val="00515E38"/>
    <w:rsid w:val="00520147"/>
    <w:rsid w:val="00523210"/>
    <w:rsid w:val="00525A49"/>
    <w:rsid w:val="0052604F"/>
    <w:rsid w:val="00530DB7"/>
    <w:rsid w:val="005338C3"/>
    <w:rsid w:val="0053618B"/>
    <w:rsid w:val="005363C2"/>
    <w:rsid w:val="0053654A"/>
    <w:rsid w:val="0053717E"/>
    <w:rsid w:val="00542706"/>
    <w:rsid w:val="005442E8"/>
    <w:rsid w:val="00547E31"/>
    <w:rsid w:val="00564508"/>
    <w:rsid w:val="00564F6E"/>
    <w:rsid w:val="005673B8"/>
    <w:rsid w:val="0057085E"/>
    <w:rsid w:val="00570F8C"/>
    <w:rsid w:val="00580261"/>
    <w:rsid w:val="0058322A"/>
    <w:rsid w:val="005838F7"/>
    <w:rsid w:val="005924C2"/>
    <w:rsid w:val="00592A0A"/>
    <w:rsid w:val="00594B8F"/>
    <w:rsid w:val="00595857"/>
    <w:rsid w:val="0059763C"/>
    <w:rsid w:val="005A06C2"/>
    <w:rsid w:val="005A17DF"/>
    <w:rsid w:val="005A2A6D"/>
    <w:rsid w:val="005A4728"/>
    <w:rsid w:val="005B0E5B"/>
    <w:rsid w:val="005B3F17"/>
    <w:rsid w:val="005C2604"/>
    <w:rsid w:val="005F4C8F"/>
    <w:rsid w:val="005F5577"/>
    <w:rsid w:val="005F5C53"/>
    <w:rsid w:val="005F761B"/>
    <w:rsid w:val="006034BD"/>
    <w:rsid w:val="00611D78"/>
    <w:rsid w:val="00612F34"/>
    <w:rsid w:val="0061467C"/>
    <w:rsid w:val="0061578A"/>
    <w:rsid w:val="00616F97"/>
    <w:rsid w:val="00620F7C"/>
    <w:rsid w:val="00623D9E"/>
    <w:rsid w:val="0062583F"/>
    <w:rsid w:val="0063299A"/>
    <w:rsid w:val="006342C6"/>
    <w:rsid w:val="006346F6"/>
    <w:rsid w:val="00641547"/>
    <w:rsid w:val="00646040"/>
    <w:rsid w:val="006528D9"/>
    <w:rsid w:val="00661E49"/>
    <w:rsid w:val="00662292"/>
    <w:rsid w:val="0066684B"/>
    <w:rsid w:val="0067657C"/>
    <w:rsid w:val="00676670"/>
    <w:rsid w:val="00684ED6"/>
    <w:rsid w:val="00686871"/>
    <w:rsid w:val="006946A7"/>
    <w:rsid w:val="00697E97"/>
    <w:rsid w:val="006A31B9"/>
    <w:rsid w:val="006A547F"/>
    <w:rsid w:val="006A771E"/>
    <w:rsid w:val="006A7790"/>
    <w:rsid w:val="006C4470"/>
    <w:rsid w:val="006C7E17"/>
    <w:rsid w:val="006D067E"/>
    <w:rsid w:val="006D51FD"/>
    <w:rsid w:val="006E6108"/>
    <w:rsid w:val="006E7366"/>
    <w:rsid w:val="006F1372"/>
    <w:rsid w:val="0070012A"/>
    <w:rsid w:val="007022C3"/>
    <w:rsid w:val="00702B54"/>
    <w:rsid w:val="00704B40"/>
    <w:rsid w:val="00711F80"/>
    <w:rsid w:val="00717A78"/>
    <w:rsid w:val="0072099F"/>
    <w:rsid w:val="007224F1"/>
    <w:rsid w:val="00723ACE"/>
    <w:rsid w:val="00725190"/>
    <w:rsid w:val="007271D8"/>
    <w:rsid w:val="0072736F"/>
    <w:rsid w:val="00727EA5"/>
    <w:rsid w:val="0073512E"/>
    <w:rsid w:val="00743C7B"/>
    <w:rsid w:val="007450C8"/>
    <w:rsid w:val="0075320B"/>
    <w:rsid w:val="00755AF6"/>
    <w:rsid w:val="00765816"/>
    <w:rsid w:val="00777D0E"/>
    <w:rsid w:val="007935DC"/>
    <w:rsid w:val="0079564F"/>
    <w:rsid w:val="007B20D7"/>
    <w:rsid w:val="007B21A7"/>
    <w:rsid w:val="007B22A7"/>
    <w:rsid w:val="007B61C2"/>
    <w:rsid w:val="007C3C0D"/>
    <w:rsid w:val="007C5695"/>
    <w:rsid w:val="007D30F4"/>
    <w:rsid w:val="007D4ED4"/>
    <w:rsid w:val="007D747B"/>
    <w:rsid w:val="007E6E2A"/>
    <w:rsid w:val="007F427C"/>
    <w:rsid w:val="007F4B44"/>
    <w:rsid w:val="00812BCF"/>
    <w:rsid w:val="00812FF3"/>
    <w:rsid w:val="00813D92"/>
    <w:rsid w:val="0081782B"/>
    <w:rsid w:val="00821EC3"/>
    <w:rsid w:val="00831D2D"/>
    <w:rsid w:val="0084602E"/>
    <w:rsid w:val="00855EDA"/>
    <w:rsid w:val="00856DB0"/>
    <w:rsid w:val="00866252"/>
    <w:rsid w:val="008662DE"/>
    <w:rsid w:val="00866CCD"/>
    <w:rsid w:val="00882B0E"/>
    <w:rsid w:val="00884DBB"/>
    <w:rsid w:val="00893B13"/>
    <w:rsid w:val="00893EC0"/>
    <w:rsid w:val="008A555E"/>
    <w:rsid w:val="008B2305"/>
    <w:rsid w:val="008C09D6"/>
    <w:rsid w:val="008D6AD7"/>
    <w:rsid w:val="008E5D03"/>
    <w:rsid w:val="008F2B42"/>
    <w:rsid w:val="008F4E42"/>
    <w:rsid w:val="00912B49"/>
    <w:rsid w:val="00912C3A"/>
    <w:rsid w:val="00917F4C"/>
    <w:rsid w:val="00921971"/>
    <w:rsid w:val="00922488"/>
    <w:rsid w:val="00923957"/>
    <w:rsid w:val="00924096"/>
    <w:rsid w:val="00936271"/>
    <w:rsid w:val="00936688"/>
    <w:rsid w:val="00944E2E"/>
    <w:rsid w:val="00946C85"/>
    <w:rsid w:val="0095634F"/>
    <w:rsid w:val="00961025"/>
    <w:rsid w:val="00962608"/>
    <w:rsid w:val="00962948"/>
    <w:rsid w:val="00963A1C"/>
    <w:rsid w:val="00963B66"/>
    <w:rsid w:val="00966FD7"/>
    <w:rsid w:val="00970BFE"/>
    <w:rsid w:val="00987D43"/>
    <w:rsid w:val="00995239"/>
    <w:rsid w:val="009A544D"/>
    <w:rsid w:val="009A5460"/>
    <w:rsid w:val="009B2AB4"/>
    <w:rsid w:val="009B364A"/>
    <w:rsid w:val="009B7514"/>
    <w:rsid w:val="009C3636"/>
    <w:rsid w:val="009C5157"/>
    <w:rsid w:val="009D0184"/>
    <w:rsid w:val="00A17C76"/>
    <w:rsid w:val="00A26C91"/>
    <w:rsid w:val="00A308F7"/>
    <w:rsid w:val="00A31027"/>
    <w:rsid w:val="00A32145"/>
    <w:rsid w:val="00A324C2"/>
    <w:rsid w:val="00A32D6F"/>
    <w:rsid w:val="00A36595"/>
    <w:rsid w:val="00A42D92"/>
    <w:rsid w:val="00A522D6"/>
    <w:rsid w:val="00A63591"/>
    <w:rsid w:val="00A643A8"/>
    <w:rsid w:val="00A66E67"/>
    <w:rsid w:val="00A66F40"/>
    <w:rsid w:val="00A675EB"/>
    <w:rsid w:val="00A7196F"/>
    <w:rsid w:val="00A7788D"/>
    <w:rsid w:val="00A815DF"/>
    <w:rsid w:val="00A948A7"/>
    <w:rsid w:val="00A9585D"/>
    <w:rsid w:val="00AA1A50"/>
    <w:rsid w:val="00AA409C"/>
    <w:rsid w:val="00AA6057"/>
    <w:rsid w:val="00AB1AE6"/>
    <w:rsid w:val="00AC262F"/>
    <w:rsid w:val="00AC3917"/>
    <w:rsid w:val="00AC6F62"/>
    <w:rsid w:val="00AD1AE5"/>
    <w:rsid w:val="00AD1CC4"/>
    <w:rsid w:val="00AE4B20"/>
    <w:rsid w:val="00AE4BF4"/>
    <w:rsid w:val="00AF0887"/>
    <w:rsid w:val="00AF3618"/>
    <w:rsid w:val="00AF5D18"/>
    <w:rsid w:val="00AF7C3F"/>
    <w:rsid w:val="00B07B6E"/>
    <w:rsid w:val="00B11885"/>
    <w:rsid w:val="00B20E24"/>
    <w:rsid w:val="00B22CB5"/>
    <w:rsid w:val="00B25742"/>
    <w:rsid w:val="00B3600A"/>
    <w:rsid w:val="00B57790"/>
    <w:rsid w:val="00B619BD"/>
    <w:rsid w:val="00B62C8A"/>
    <w:rsid w:val="00B63DCC"/>
    <w:rsid w:val="00B63F44"/>
    <w:rsid w:val="00B83C5C"/>
    <w:rsid w:val="00B920F4"/>
    <w:rsid w:val="00B964E3"/>
    <w:rsid w:val="00BA1384"/>
    <w:rsid w:val="00BA1DC7"/>
    <w:rsid w:val="00BC2926"/>
    <w:rsid w:val="00BC4155"/>
    <w:rsid w:val="00BC4CC3"/>
    <w:rsid w:val="00BC5961"/>
    <w:rsid w:val="00BE0214"/>
    <w:rsid w:val="00BE4130"/>
    <w:rsid w:val="00BE4FA7"/>
    <w:rsid w:val="00BF7CA2"/>
    <w:rsid w:val="00C00782"/>
    <w:rsid w:val="00C02789"/>
    <w:rsid w:val="00C11597"/>
    <w:rsid w:val="00C1786C"/>
    <w:rsid w:val="00C324D0"/>
    <w:rsid w:val="00C44C5D"/>
    <w:rsid w:val="00C47DC0"/>
    <w:rsid w:val="00C51321"/>
    <w:rsid w:val="00C56687"/>
    <w:rsid w:val="00C60285"/>
    <w:rsid w:val="00C63630"/>
    <w:rsid w:val="00C722F8"/>
    <w:rsid w:val="00C75288"/>
    <w:rsid w:val="00C86D56"/>
    <w:rsid w:val="00C9149E"/>
    <w:rsid w:val="00CA643F"/>
    <w:rsid w:val="00CE597A"/>
    <w:rsid w:val="00CF318D"/>
    <w:rsid w:val="00CF38EC"/>
    <w:rsid w:val="00CF53CE"/>
    <w:rsid w:val="00D07FED"/>
    <w:rsid w:val="00D123B1"/>
    <w:rsid w:val="00D20E6C"/>
    <w:rsid w:val="00D25831"/>
    <w:rsid w:val="00D279A7"/>
    <w:rsid w:val="00D330E5"/>
    <w:rsid w:val="00D36243"/>
    <w:rsid w:val="00D4706D"/>
    <w:rsid w:val="00D5298C"/>
    <w:rsid w:val="00D56648"/>
    <w:rsid w:val="00D6226C"/>
    <w:rsid w:val="00D70C9F"/>
    <w:rsid w:val="00D86DAD"/>
    <w:rsid w:val="00DA2E42"/>
    <w:rsid w:val="00DA51E3"/>
    <w:rsid w:val="00DB1E16"/>
    <w:rsid w:val="00DB2AE7"/>
    <w:rsid w:val="00DB6B86"/>
    <w:rsid w:val="00DC25EE"/>
    <w:rsid w:val="00DD335C"/>
    <w:rsid w:val="00DD345A"/>
    <w:rsid w:val="00DD6BB4"/>
    <w:rsid w:val="00DE6645"/>
    <w:rsid w:val="00DF01CA"/>
    <w:rsid w:val="00DF1D91"/>
    <w:rsid w:val="00E06871"/>
    <w:rsid w:val="00E13BD5"/>
    <w:rsid w:val="00E157F3"/>
    <w:rsid w:val="00E22972"/>
    <w:rsid w:val="00E2647F"/>
    <w:rsid w:val="00E334BA"/>
    <w:rsid w:val="00E35868"/>
    <w:rsid w:val="00E37200"/>
    <w:rsid w:val="00E406EF"/>
    <w:rsid w:val="00E43BFC"/>
    <w:rsid w:val="00E4580D"/>
    <w:rsid w:val="00E47844"/>
    <w:rsid w:val="00E51E95"/>
    <w:rsid w:val="00E55E35"/>
    <w:rsid w:val="00E55E3A"/>
    <w:rsid w:val="00E95427"/>
    <w:rsid w:val="00EA1534"/>
    <w:rsid w:val="00EA24BE"/>
    <w:rsid w:val="00EA427B"/>
    <w:rsid w:val="00EB5621"/>
    <w:rsid w:val="00EB6C99"/>
    <w:rsid w:val="00EC31BD"/>
    <w:rsid w:val="00ED12B4"/>
    <w:rsid w:val="00ED5D37"/>
    <w:rsid w:val="00ED6D5D"/>
    <w:rsid w:val="00EE7D5D"/>
    <w:rsid w:val="00F03039"/>
    <w:rsid w:val="00F044A6"/>
    <w:rsid w:val="00F05723"/>
    <w:rsid w:val="00F10A3D"/>
    <w:rsid w:val="00F137F0"/>
    <w:rsid w:val="00F14569"/>
    <w:rsid w:val="00F14CF5"/>
    <w:rsid w:val="00F1603F"/>
    <w:rsid w:val="00F20E6F"/>
    <w:rsid w:val="00F3011F"/>
    <w:rsid w:val="00F325D0"/>
    <w:rsid w:val="00F358EA"/>
    <w:rsid w:val="00F37651"/>
    <w:rsid w:val="00F40302"/>
    <w:rsid w:val="00F40640"/>
    <w:rsid w:val="00F41452"/>
    <w:rsid w:val="00F41B07"/>
    <w:rsid w:val="00F454A2"/>
    <w:rsid w:val="00F51B72"/>
    <w:rsid w:val="00F52D3C"/>
    <w:rsid w:val="00F530FF"/>
    <w:rsid w:val="00F53342"/>
    <w:rsid w:val="00F610B7"/>
    <w:rsid w:val="00F630A3"/>
    <w:rsid w:val="00F63122"/>
    <w:rsid w:val="00F659AA"/>
    <w:rsid w:val="00F7037F"/>
    <w:rsid w:val="00F70ED3"/>
    <w:rsid w:val="00F72EAB"/>
    <w:rsid w:val="00F91180"/>
    <w:rsid w:val="00F92E9C"/>
    <w:rsid w:val="00F93376"/>
    <w:rsid w:val="00F975A5"/>
    <w:rsid w:val="00FB1085"/>
    <w:rsid w:val="00FB338C"/>
    <w:rsid w:val="00FC3C4A"/>
    <w:rsid w:val="00FC5116"/>
    <w:rsid w:val="00FC7737"/>
    <w:rsid w:val="00FD01EE"/>
    <w:rsid w:val="00FD5734"/>
    <w:rsid w:val="00FE1C98"/>
    <w:rsid w:val="00FE1D8E"/>
    <w:rsid w:val="00FE3A16"/>
    <w:rsid w:val="00FE4199"/>
    <w:rsid w:val="00FF24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6D6BB8"/>
  <w15:docId w15:val="{15B5C975-5691-4E76-8652-93DF5CC16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E42"/>
    <w:pPr>
      <w:spacing w:line="360" w:lineRule="auto"/>
    </w:pPr>
    <w:rPr>
      <w:rFonts w:asciiTheme="minorHAnsi" w:eastAsiaTheme="minorEastAsia" w:hAnsiTheme="minorHAnsi" w:cstheme="minorBidi"/>
      <w:color w:val="17365D" w:themeColor="text2" w:themeShade="BF"/>
      <w:sz w:val="22"/>
      <w:szCs w:val="22"/>
      <w:lang w:eastAsia="ja-JP"/>
    </w:rPr>
  </w:style>
  <w:style w:type="paragraph" w:styleId="Heading1">
    <w:name w:val="heading 1"/>
    <w:basedOn w:val="Normal"/>
    <w:next w:val="BodyText"/>
    <w:qFormat/>
    <w:rsid w:val="00F358EA"/>
    <w:pPr>
      <w:spacing w:after="60"/>
      <w:outlineLvl w:val="0"/>
    </w:pPr>
    <w:rPr>
      <w:rFonts w:asciiTheme="majorHAnsi" w:hAnsiTheme="majorHAnsi"/>
      <w:b/>
      <w:caps/>
      <w:sz w:val="18"/>
    </w:rPr>
  </w:style>
  <w:style w:type="paragraph" w:styleId="Heading2">
    <w:name w:val="heading 2"/>
    <w:basedOn w:val="Normal"/>
    <w:next w:val="Normal"/>
    <w:unhideWhenUsed/>
    <w:qFormat/>
    <w:rsid w:val="00F358EA"/>
    <w:pPr>
      <w:outlineLvl w:val="1"/>
    </w:pPr>
    <w:rPr>
      <w:caps/>
      <w:sz w:val="18"/>
    </w:rPr>
  </w:style>
  <w:style w:type="paragraph" w:styleId="Heading3">
    <w:name w:val="heading 3"/>
    <w:basedOn w:val="Normal"/>
    <w:next w:val="BodyText"/>
    <w:semiHidden/>
    <w:unhideWhenUsed/>
    <w:rsid w:val="00F37651"/>
    <w:pPr>
      <w:keepNext/>
      <w:keepLines/>
      <w:spacing w:after="240" w:line="240" w:lineRule="atLeast"/>
      <w:outlineLvl w:val="2"/>
    </w:pPr>
    <w:rPr>
      <w:i/>
      <w:kern w:val="20"/>
    </w:rPr>
  </w:style>
  <w:style w:type="paragraph" w:styleId="Heading4">
    <w:name w:val="heading 4"/>
    <w:basedOn w:val="Normal"/>
    <w:next w:val="BodyText"/>
    <w:semiHidden/>
    <w:unhideWhenUsed/>
    <w:qFormat/>
    <w:rsid w:val="00F37651"/>
    <w:pPr>
      <w:keepNext/>
      <w:keepLines/>
      <w:spacing w:line="240" w:lineRule="atLeast"/>
      <w:outlineLvl w:val="3"/>
    </w:pPr>
    <w:rPr>
      <w:caps/>
      <w:kern w:val="20"/>
      <w:sz w:val="18"/>
    </w:rPr>
  </w:style>
  <w:style w:type="paragraph" w:styleId="Heading5">
    <w:name w:val="heading 5"/>
    <w:basedOn w:val="Normal"/>
    <w:next w:val="BodyText"/>
    <w:semiHidden/>
    <w:unhideWhenUsed/>
    <w:qFormat/>
    <w:rsid w:val="00F37651"/>
    <w:pPr>
      <w:keepNext/>
      <w:keepLines/>
      <w:spacing w:line="240" w:lineRule="atLeast"/>
      <w:outlineLvl w:val="4"/>
    </w:pPr>
    <w:rPr>
      <w:kern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qFormat/>
    <w:rsid w:val="00F358EA"/>
    <w:pPr>
      <w:spacing w:before="240"/>
      <w:ind w:firstLine="720"/>
    </w:pPr>
  </w:style>
  <w:style w:type="paragraph" w:styleId="Closing">
    <w:name w:val="Closing"/>
    <w:basedOn w:val="Normal"/>
    <w:next w:val="Normal"/>
    <w:semiHidden/>
    <w:rsid w:val="00F37651"/>
    <w:pPr>
      <w:spacing w:line="220" w:lineRule="atLeast"/>
    </w:pPr>
  </w:style>
  <w:style w:type="paragraph" w:styleId="Footer">
    <w:name w:val="footer"/>
    <w:basedOn w:val="Normal"/>
    <w:semiHidden/>
    <w:rsid w:val="005673B8"/>
    <w:pPr>
      <w:keepLines/>
      <w:tabs>
        <w:tab w:val="center" w:pos="4320"/>
        <w:tab w:val="right" w:pos="8640"/>
      </w:tabs>
      <w:spacing w:before="600" w:line="240" w:lineRule="atLeast"/>
      <w:ind w:right="-240"/>
      <w:jc w:val="center"/>
    </w:pPr>
    <w:rPr>
      <w:kern w:val="18"/>
    </w:rPr>
  </w:style>
  <w:style w:type="paragraph" w:styleId="Header">
    <w:name w:val="header"/>
    <w:basedOn w:val="Normal"/>
    <w:semiHidden/>
    <w:rsid w:val="005673B8"/>
    <w:pPr>
      <w:keepLines/>
      <w:tabs>
        <w:tab w:val="center" w:pos="4320"/>
        <w:tab w:val="right" w:pos="8640"/>
      </w:tabs>
      <w:spacing w:after="660" w:line="240" w:lineRule="atLeast"/>
      <w:jc w:val="center"/>
    </w:pPr>
    <w:rPr>
      <w:caps/>
      <w:kern w:val="18"/>
      <w:sz w:val="18"/>
    </w:rPr>
  </w:style>
  <w:style w:type="paragraph" w:styleId="MessageHeader">
    <w:name w:val="Message Header"/>
    <w:basedOn w:val="BodyText"/>
    <w:semiHidden/>
    <w:rsid w:val="00F37651"/>
    <w:pPr>
      <w:keepLines/>
      <w:spacing w:after="120"/>
      <w:ind w:left="1080" w:hanging="1080"/>
    </w:pPr>
    <w:rPr>
      <w:caps/>
      <w:sz w:val="18"/>
    </w:rPr>
  </w:style>
  <w:style w:type="paragraph" w:styleId="NormalIndent">
    <w:name w:val="Normal Indent"/>
    <w:basedOn w:val="Normal"/>
    <w:semiHidden/>
    <w:rsid w:val="00F37651"/>
    <w:pPr>
      <w:ind w:left="720"/>
    </w:pPr>
  </w:style>
  <w:style w:type="character" w:styleId="PageNumber">
    <w:name w:val="page number"/>
    <w:semiHidden/>
    <w:rsid w:val="00F37651"/>
  </w:style>
  <w:style w:type="paragraph" w:styleId="Signature">
    <w:name w:val="Signature"/>
    <w:basedOn w:val="BodyText"/>
    <w:next w:val="Normal"/>
    <w:semiHidden/>
    <w:rsid w:val="00F37651"/>
    <w:pPr>
      <w:keepNext/>
      <w:keepLines/>
      <w:spacing w:before="660"/>
    </w:pPr>
  </w:style>
  <w:style w:type="character" w:customStyle="1" w:styleId="BodyTextChar">
    <w:name w:val="Body Text Char"/>
    <w:basedOn w:val="DefaultParagraphFont"/>
    <w:link w:val="BodyText"/>
    <w:rsid w:val="00F358EA"/>
    <w:rPr>
      <w:rFonts w:asciiTheme="minorHAnsi" w:hAnsiTheme="minorHAnsi"/>
      <w:sz w:val="22"/>
    </w:rPr>
  </w:style>
  <w:style w:type="paragraph" w:styleId="BalloonText">
    <w:name w:val="Balloon Text"/>
    <w:basedOn w:val="Normal"/>
    <w:link w:val="BalloonTextChar"/>
    <w:uiPriority w:val="99"/>
    <w:semiHidden/>
    <w:unhideWhenUsed/>
    <w:rsid w:val="000D4049"/>
    <w:rPr>
      <w:rFonts w:ascii="Tahoma" w:hAnsi="Tahoma" w:cs="Tahoma"/>
      <w:sz w:val="16"/>
      <w:szCs w:val="16"/>
    </w:rPr>
  </w:style>
  <w:style w:type="character" w:customStyle="1" w:styleId="BalloonTextChar">
    <w:name w:val="Balloon Text Char"/>
    <w:basedOn w:val="DefaultParagraphFont"/>
    <w:link w:val="BalloonText"/>
    <w:uiPriority w:val="99"/>
    <w:semiHidden/>
    <w:rsid w:val="000D4049"/>
    <w:rPr>
      <w:rFonts w:ascii="Tahoma" w:hAnsi="Tahoma" w:cs="Tahoma"/>
      <w:sz w:val="16"/>
      <w:szCs w:val="16"/>
    </w:rPr>
  </w:style>
  <w:style w:type="paragraph" w:styleId="Title">
    <w:name w:val="Title"/>
    <w:basedOn w:val="Normal"/>
    <w:next w:val="Normal"/>
    <w:link w:val="TitleChar"/>
    <w:uiPriority w:val="10"/>
    <w:unhideWhenUsed/>
    <w:qFormat/>
    <w:rsid w:val="005673B8"/>
    <w:pPr>
      <w:pBdr>
        <w:top w:val="double" w:sz="6" w:space="8" w:color="404040" w:themeColor="text1" w:themeTint="BF"/>
        <w:bottom w:val="double" w:sz="6" w:space="8" w:color="404040" w:themeColor="text1" w:themeTint="BF"/>
      </w:pBdr>
      <w:spacing w:after="200"/>
      <w:jc w:val="center"/>
    </w:pPr>
    <w:rPr>
      <w:rFonts w:asciiTheme="majorHAnsi" w:hAnsiTheme="majorHAnsi"/>
      <w:b/>
      <w:caps/>
      <w:spacing w:val="20"/>
      <w:sz w:val="18"/>
    </w:rPr>
  </w:style>
  <w:style w:type="character" w:customStyle="1" w:styleId="TitleChar">
    <w:name w:val="Title Char"/>
    <w:basedOn w:val="DefaultParagraphFont"/>
    <w:link w:val="Title"/>
    <w:uiPriority w:val="10"/>
    <w:rsid w:val="00F358EA"/>
    <w:rPr>
      <w:rFonts w:asciiTheme="majorHAnsi" w:hAnsiTheme="majorHAnsi"/>
      <w:b/>
      <w:caps/>
      <w:spacing w:val="20"/>
      <w:sz w:val="18"/>
    </w:rPr>
  </w:style>
  <w:style w:type="table" w:styleId="TableGrid">
    <w:name w:val="Table Grid"/>
    <w:basedOn w:val="TableNormal"/>
    <w:uiPriority w:val="59"/>
    <w:rsid w:val="005673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673B8"/>
    <w:rPr>
      <w:color w:val="808080"/>
    </w:rPr>
  </w:style>
  <w:style w:type="table" w:customStyle="1" w:styleId="TableGrid1">
    <w:name w:val="Table Grid1"/>
    <w:basedOn w:val="TableNormal"/>
    <w:next w:val="TableGrid"/>
    <w:uiPriority w:val="39"/>
    <w:rsid w:val="00C00782"/>
    <w:rPr>
      <w:rFonts w:asciiTheme="minorHAnsi" w:eastAsiaTheme="minorEastAsia" w:hAnsiTheme="minorHAnsi" w:cstheme="minorBidi"/>
      <w:color w:val="1F497D" w:themeColor="text2"/>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unhideWhenUsed/>
    <w:qFormat/>
    <w:rsid w:val="00C00782"/>
    <w:pPr>
      <w:ind w:left="720"/>
      <w:contextualSpacing/>
    </w:pPr>
  </w:style>
  <w:style w:type="character" w:styleId="Hyperlink">
    <w:name w:val="Hyperlink"/>
    <w:basedOn w:val="DefaultParagraphFont"/>
    <w:uiPriority w:val="99"/>
    <w:unhideWhenUsed/>
    <w:rsid w:val="007B21A7"/>
    <w:rPr>
      <w:color w:val="0000FF" w:themeColor="hyperlink"/>
      <w:u w:val="single"/>
    </w:rPr>
  </w:style>
  <w:style w:type="character" w:styleId="UnresolvedMention">
    <w:name w:val="Unresolved Mention"/>
    <w:basedOn w:val="DefaultParagraphFont"/>
    <w:uiPriority w:val="99"/>
    <w:semiHidden/>
    <w:unhideWhenUsed/>
    <w:rsid w:val="007B21A7"/>
    <w:rPr>
      <w:color w:val="808080"/>
      <w:shd w:val="clear" w:color="auto" w:fill="E6E6E6"/>
    </w:rPr>
  </w:style>
  <w:style w:type="character" w:styleId="FollowedHyperlink">
    <w:name w:val="FollowedHyperlink"/>
    <w:basedOn w:val="DefaultParagraphFont"/>
    <w:uiPriority w:val="99"/>
    <w:semiHidden/>
    <w:unhideWhenUsed/>
    <w:rsid w:val="006E6108"/>
    <w:rPr>
      <w:color w:val="800080" w:themeColor="followedHyperlink"/>
      <w:u w:val="single"/>
    </w:rPr>
  </w:style>
  <w:style w:type="paragraph" w:customStyle="1" w:styleId="Default">
    <w:name w:val="Default"/>
    <w:rsid w:val="00676670"/>
    <w:pPr>
      <w:autoSpaceDE w:val="0"/>
      <w:autoSpaceDN w:val="0"/>
      <w:adjustRightInd w:val="0"/>
    </w:pPr>
    <w:rPr>
      <w:rFonts w:ascii="Rotis Sans Serif Std Light" w:hAnsi="Rotis Sans Serif Std Light" w:cs="Rotis Sans Serif Std Light"/>
      <w:color w:val="000000"/>
      <w:sz w:val="24"/>
      <w:szCs w:val="24"/>
      <w:lang w:val="en-GB"/>
    </w:rPr>
  </w:style>
  <w:style w:type="paragraph" w:customStyle="1" w:styleId="Pa9">
    <w:name w:val="Pa9"/>
    <w:basedOn w:val="Default"/>
    <w:next w:val="Default"/>
    <w:uiPriority w:val="99"/>
    <w:rsid w:val="00676670"/>
    <w:pPr>
      <w:spacing w:line="241" w:lineRule="atLeast"/>
    </w:pPr>
    <w:rPr>
      <w:rFonts w:cs="Times New Roman"/>
      <w:color w:val="auto"/>
    </w:rPr>
  </w:style>
  <w:style w:type="character" w:customStyle="1" w:styleId="A1">
    <w:name w:val="A1"/>
    <w:uiPriority w:val="99"/>
    <w:rsid w:val="00676670"/>
    <w:rPr>
      <w:rFonts w:cs="Rotis Sans Serif Std Light"/>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4648347">
      <w:bodyDiv w:val="1"/>
      <w:marLeft w:val="0"/>
      <w:marRight w:val="0"/>
      <w:marTop w:val="0"/>
      <w:marBottom w:val="0"/>
      <w:divBdr>
        <w:top w:val="none" w:sz="0" w:space="0" w:color="auto"/>
        <w:left w:val="none" w:sz="0" w:space="0" w:color="auto"/>
        <w:bottom w:val="none" w:sz="0" w:space="0" w:color="auto"/>
        <w:right w:val="none" w:sz="0" w:space="0" w:color="auto"/>
      </w:divBdr>
    </w:div>
    <w:div w:id="867452272">
      <w:bodyDiv w:val="1"/>
      <w:marLeft w:val="0"/>
      <w:marRight w:val="0"/>
      <w:marTop w:val="0"/>
      <w:marBottom w:val="0"/>
      <w:divBdr>
        <w:top w:val="none" w:sz="0" w:space="0" w:color="auto"/>
        <w:left w:val="none" w:sz="0" w:space="0" w:color="auto"/>
        <w:bottom w:val="none" w:sz="0" w:space="0" w:color="auto"/>
        <w:right w:val="none" w:sz="0" w:space="0" w:color="auto"/>
      </w:divBdr>
    </w:div>
    <w:div w:id="1073165266">
      <w:bodyDiv w:val="1"/>
      <w:marLeft w:val="0"/>
      <w:marRight w:val="0"/>
      <w:marTop w:val="0"/>
      <w:marBottom w:val="0"/>
      <w:divBdr>
        <w:top w:val="none" w:sz="0" w:space="0" w:color="auto"/>
        <w:left w:val="none" w:sz="0" w:space="0" w:color="auto"/>
        <w:bottom w:val="none" w:sz="0" w:space="0" w:color="auto"/>
        <w:right w:val="none" w:sz="0" w:space="0" w:color="auto"/>
      </w:divBdr>
      <w:divsChild>
        <w:div w:id="647631615">
          <w:marLeft w:val="0"/>
          <w:marRight w:val="0"/>
          <w:marTop w:val="60"/>
          <w:marBottom w:val="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globalsecurityreview.com/world-will-look-like-2025/"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globalriskinsights.com/2018/10/qatar-beyond-blockade/"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www.eia.gov/outlooks/aeo"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iea.org/oil2019/" TargetMode="Externa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microsoft.com/office/2007/relationships/hdphoto" Target="media/hdphoto1.wdp"/><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T:\Letters-Memos\English%20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emo">
      <a:majorFont>
        <a:latin typeface="Garamond"/>
        <a:ea typeface=""/>
        <a:cs typeface=""/>
      </a:majorFont>
      <a:minorFont>
        <a:latin typeface="Garamon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421624-DA34-4587-B1D2-19BD84B16E9D}">
  <ds:schemaRefs>
    <ds:schemaRef ds:uri="http://schemas.microsoft.com/sharepoint/v3/contenttype/forms"/>
  </ds:schemaRefs>
</ds:datastoreItem>
</file>

<file path=customXml/itemProps2.xml><?xml version="1.0" encoding="utf-8"?>
<ds:datastoreItem xmlns:ds="http://schemas.openxmlformats.org/officeDocument/2006/customXml" ds:itemID="{E44BE4E1-1C8D-4046-BE3C-2AFACB39B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English Letter.dotx</Template>
  <TotalTime>5</TotalTime>
  <Pages>2</Pages>
  <Words>796</Words>
  <Characters>4541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Memo (Elegant design)</vt:lpstr>
    </vt:vector>
  </TitlesOfParts>
  <Company/>
  <LinksUpToDate>false</LinksUpToDate>
  <CharactersWithSpaces>5327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 (Elegant design)</dc:title>
  <dc:creator>Nicola Joseph</dc:creator>
  <cp:keywords/>
  <cp:lastModifiedBy>Colman Hands</cp:lastModifiedBy>
  <cp:revision>3</cp:revision>
  <cp:lastPrinted>2019-11-24T12:06:00Z</cp:lastPrinted>
  <dcterms:created xsi:type="dcterms:W3CDTF">2019-11-25T05:41:00Z</dcterms:created>
  <dcterms:modified xsi:type="dcterms:W3CDTF">2019-11-26T04:51:00Z</dcterms:modified>
  <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TC010129231033</vt:lpwstr>
  </property>
</Properties>
</file>